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spacing w:before="624" w:beforeLines="200"/>
        <w:jc w:val="center"/>
        <w:rPr>
          <w:b w:val="0"/>
          <w:bCs/>
          <w:sz w:val="8"/>
          <w:szCs w:val="8"/>
        </w:rPr>
      </w:pPr>
      <w:r>
        <w:rPr>
          <w:rFonts w:hint="eastAsia" w:ascii="华文中宋" w:hAnsi="华文中宋" w:eastAsia="华文中宋" w:cs="华文中宋"/>
          <w:b w:val="0"/>
          <w:bCs/>
          <w:color w:val="FF0000"/>
          <w:spacing w:val="1"/>
          <w:w w:val="85"/>
          <w:kern w:val="0"/>
          <w:sz w:val="84"/>
          <w:szCs w:val="84"/>
          <w:fitText w:val="8640" w:id="1782858818"/>
        </w:rPr>
        <w:t>共青团山东现代学院委员</w:t>
      </w:r>
      <w:r>
        <w:rPr>
          <w:rFonts w:hint="eastAsia" w:ascii="华文中宋" w:hAnsi="华文中宋" w:eastAsia="华文中宋" w:cs="华文中宋"/>
          <w:b w:val="0"/>
          <w:bCs/>
          <w:color w:val="FF0000"/>
          <w:spacing w:val="25"/>
          <w:w w:val="85"/>
          <w:kern w:val="0"/>
          <w:sz w:val="84"/>
          <w:szCs w:val="84"/>
          <w:fitText w:val="8640" w:id="1782858818"/>
        </w:rPr>
        <w:t>会</w:t>
      </w:r>
    </w:p>
    <w:p>
      <w:pPr>
        <w:pStyle w:val="2"/>
        <w:rPr>
          <w:rFonts w:ascii="仿宋_GB2312" w:hAnsi="仿宋_GB2312" w:eastAsia="仿宋_GB2312" w:cs="仿宋_GB2312"/>
          <w:b w:val="0"/>
          <w:bCs/>
          <w:sz w:val="2"/>
          <w:szCs w:val="2"/>
        </w:rPr>
      </w:pPr>
    </w:p>
    <w:p>
      <w:pPr>
        <w:jc w:val="center"/>
        <w:rPr>
          <w:highlight w:val="yellow"/>
        </w:rPr>
      </w:pPr>
      <w:r>
        <w:rPr>
          <w:rFonts w:hint="eastAsia" w:ascii="仿宋_GB2312" w:hAnsi="仿宋_GB2312" w:eastAsia="仿宋_GB2312" w:cs="仿宋_GB2312"/>
          <w:bCs/>
          <w:sz w:val="32"/>
          <w:szCs w:val="32"/>
          <w:highlight w:val="none"/>
        </w:rPr>
        <mc:AlternateContent>
          <mc:Choice Requires="wps">
            <w:drawing>
              <wp:anchor distT="0" distB="0" distL="114300" distR="114300" simplePos="0" relativeHeight="251662336" behindDoc="0" locked="0" layoutInCell="1" allowOverlap="1">
                <wp:simplePos x="0" y="0"/>
                <wp:positionH relativeFrom="column">
                  <wp:posOffset>2629535</wp:posOffset>
                </wp:positionH>
                <wp:positionV relativeFrom="paragraph">
                  <wp:posOffset>451485</wp:posOffset>
                </wp:positionV>
                <wp:extent cx="257175" cy="219710"/>
                <wp:effectExtent l="0" t="0" r="1905" b="8890"/>
                <wp:wrapNone/>
                <wp:docPr id="241" name="五角星 241"/>
                <wp:cNvGraphicFramePr/>
                <a:graphic xmlns:a="http://schemas.openxmlformats.org/drawingml/2006/main">
                  <a:graphicData uri="http://schemas.microsoft.com/office/word/2010/wordprocessingShape">
                    <wps:wsp>
                      <wps:cNvSpPr/>
                      <wps:spPr>
                        <a:xfrm>
                          <a:off x="5275580" y="2725420"/>
                          <a:ext cx="257175" cy="219710"/>
                        </a:xfrm>
                        <a:prstGeom prst="star5">
                          <a:avLst/>
                        </a:prstGeom>
                        <a:solidFill>
                          <a:srgbClr val="FF0000"/>
                        </a:solidFill>
                        <a:ln w="12700" cap="flat" cmpd="sng" algn="ctr">
                          <a:noFill/>
                          <a:prstDash val="solid"/>
                          <a:miter lim="800000"/>
                        </a:ln>
                        <a:effectLst/>
                      </wps:spPr>
                      <wps:bodyPr anchor="ctr" anchorCtr="0"/>
                    </wps:wsp>
                  </a:graphicData>
                </a:graphic>
              </wp:anchor>
            </w:drawing>
          </mc:Choice>
          <mc:Fallback>
            <w:pict>
              <v:shape id="_x0000_s1026" o:spid="_x0000_s1026" style="position:absolute;left:0pt;margin-left:207.05pt;margin-top:35.55pt;height:17.3pt;width:20.25pt;z-index:251662336;v-text-anchor:middle;mso-width-relative:page;mso-height-relative:page;" fillcolor="#FF0000" filled="t" stroked="f" coordsize="257175,219710" o:gfxdata="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PtTf2fbAAAACgEAAA8AAAAAAAAAAQAgAAAAIgAA&#10;AGRycy9kb3ducmV2LnhtbFBLAQIUABQAAAAIAIdO4kBk+6djBQIAAOoDAAAOAAAAAAAAAAEAIAAA&#10;ACoBAABkcnMvZTJvRG9jLnhtbFBLBQYAAAAABgAGAFkBAAChBQAAAAA=&#10;" path="m0,83921l98232,83922,128587,0,158942,83922,257174,83921,177702,135787,208058,219709,128587,167842,49116,219709,79472,135787xe">
                <v:path o:connectlocs="128587,0;0,83921;49116,219709;208058,219709;257174,83921" o:connectangles="247,164,82,82,0"/>
                <v:fill on="t" focussize="0,0"/>
                <v:stroke on="f" weight="1pt" miterlimit="8" joinstyle="miter"/>
                <v:imagedata o:title=""/>
                <o:lock v:ext="edit" aspectratio="f"/>
              </v:shape>
            </w:pict>
          </mc:Fallback>
        </mc:AlternateContent>
      </w:r>
      <w:r>
        <w:rPr>
          <w:sz w:val="72"/>
          <w:szCs w:val="72"/>
          <w:highlight w:val="none"/>
        </w:rPr>
        <mc:AlternateContent>
          <mc:Choice Requires="wps">
            <w:drawing>
              <wp:anchor distT="0" distB="0" distL="114300" distR="114300" simplePos="0" relativeHeight="251661312" behindDoc="0" locked="0" layoutInCell="1" allowOverlap="1">
                <wp:simplePos x="0" y="0"/>
                <wp:positionH relativeFrom="column">
                  <wp:posOffset>2979420</wp:posOffset>
                </wp:positionH>
                <wp:positionV relativeFrom="paragraph">
                  <wp:posOffset>564515</wp:posOffset>
                </wp:positionV>
                <wp:extent cx="2705100" cy="4445"/>
                <wp:effectExtent l="0" t="0" r="0" b="0"/>
                <wp:wrapNone/>
                <wp:docPr id="2" name="直接连接符 2"/>
                <wp:cNvGraphicFramePr/>
                <a:graphic xmlns:a="http://schemas.openxmlformats.org/drawingml/2006/main">
                  <a:graphicData uri="http://schemas.microsoft.com/office/word/2010/wordprocessingShape">
                    <wps:wsp>
                      <wps:cNvCnPr/>
                      <wps:spPr>
                        <a:xfrm>
                          <a:off x="3980180" y="1982470"/>
                          <a:ext cx="2705100" cy="4445"/>
                        </a:xfrm>
                        <a:prstGeom prst="line">
                          <a:avLst/>
                        </a:prstGeom>
                        <a:noFill/>
                        <a:ln w="19050" cap="flat" cmpd="sng" algn="ctr">
                          <a:solidFill>
                            <a:srgbClr val="FF0000"/>
                          </a:solidFill>
                          <a:prstDash val="solid"/>
                          <a:miter lim="800000"/>
                        </a:ln>
                        <a:effectLst/>
                      </wps:spPr>
                      <wps:bodyPr/>
                    </wps:wsp>
                  </a:graphicData>
                </a:graphic>
              </wp:anchor>
            </w:drawing>
          </mc:Choice>
          <mc:Fallback>
            <w:pict>
              <v:line id="_x0000_s1026" o:spid="_x0000_s1026" o:spt="20" style="position:absolute;left:0pt;margin-left:234.6pt;margin-top:44.45pt;height:0.35pt;width:213pt;z-index:251661312;mso-width-relative:page;mso-height-relative:page;" filled="f" stroked="t" coordsize="21600,21600" o:gfxdata="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6mijTdUAAAAJAQAADwAAAAAAAAABACAAAAAiAAAAZHJzL2Rvd25yZXYueG1s&#10;UEsBAhQAFAAAAAgAh07iQChtvVn7AQAAzwMAAA4AAAAAAAAAAQAgAAAAJAEAAGRycy9lMm9Eb2Mu&#10;eG1sUEsFBgAAAAAGAAYAWQEAAJEFAAAAAA==&#10;">
                <v:fill on="f" focussize="0,0"/>
                <v:stroke weight="1.5pt" color="#FF0000" miterlimit="8" joinstyle="miter"/>
                <v:imagedata o:title=""/>
                <o:lock v:ext="edit" aspectratio="f"/>
              </v:line>
            </w:pict>
          </mc:Fallback>
        </mc:AlternateContent>
      </w:r>
      <w:r>
        <w:rPr>
          <w:sz w:val="72"/>
          <w:szCs w:val="72"/>
          <w:highlight w:val="none"/>
        </w:rPr>
        <mc:AlternateContent>
          <mc:Choice Requires="wps">
            <w:drawing>
              <wp:anchor distT="0" distB="0" distL="114300" distR="114300" simplePos="0" relativeHeight="251660288" behindDoc="0" locked="0" layoutInCell="1" allowOverlap="1">
                <wp:simplePos x="0" y="0"/>
                <wp:positionH relativeFrom="column">
                  <wp:posOffset>-635</wp:posOffset>
                </wp:positionH>
                <wp:positionV relativeFrom="paragraph">
                  <wp:posOffset>573405</wp:posOffset>
                </wp:positionV>
                <wp:extent cx="2533650" cy="0"/>
                <wp:effectExtent l="0" t="9525" r="11430" b="13335"/>
                <wp:wrapNone/>
                <wp:docPr id="1" name="直接箭头连接符 1"/>
                <wp:cNvGraphicFramePr/>
                <a:graphic xmlns:a="http://schemas.openxmlformats.org/drawingml/2006/main">
                  <a:graphicData uri="http://schemas.microsoft.com/office/word/2010/wordprocessingShape">
                    <wps:wsp>
                      <wps:cNvCnPr/>
                      <wps:spPr>
                        <a:xfrm>
                          <a:off x="0" y="0"/>
                          <a:ext cx="2533650" cy="0"/>
                        </a:xfrm>
                        <a:prstGeom prst="straightConnector1">
                          <a:avLst/>
                        </a:prstGeom>
                        <a:ln w="19050" cap="flat" cmpd="sng">
                          <a:solidFill>
                            <a:srgbClr val="FF0000"/>
                          </a:solidFill>
                          <a:prstDash val="solid"/>
                          <a:miter/>
                          <a:headEnd type="none" w="med" len="med"/>
                          <a:tailEnd type="none" w="med" len="med"/>
                        </a:ln>
                      </wps:spPr>
                      <wps:bodyPr/>
                    </wps:wsp>
                  </a:graphicData>
                </a:graphic>
              </wp:anchor>
            </w:drawing>
          </mc:Choice>
          <mc:Fallback>
            <w:pict>
              <v:shape id="_x0000_s1026" o:spid="_x0000_s1026" o:spt="32" type="#_x0000_t32" style="position:absolute;left:0pt;margin-left:-0.05pt;margin-top:45.15pt;height:0pt;width:199.5pt;z-index:251660288;mso-width-relative:page;mso-height-relative:page;" filled="f" stroked="t" coordsize="21600,21600" o:gfxdata="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uj13m1QAAAAcBAAAPAAAAAAAAAAEAIAAAACIAAABkcnMvZG93&#10;bnJldi54bWxQSwECFAAUAAAACACHTuJAzJlwYQMCAAD3AwAADgAAAAAAAAABACAAAAAkAQAAZHJz&#10;L2Uyb0RvYy54bWxQSwUGAAAAAAYABgBZAQAAmQUAAAAA&#10;">
                <v:fill on="f" focussize="0,0"/>
                <v:stroke weight="1.5pt" color="#FF0000" joinstyle="miter"/>
                <v:imagedata o:title=""/>
                <o:lock v:ext="edit" aspectratio="f"/>
              </v:shape>
            </w:pict>
          </mc:Fallback>
        </mc:AlternateContent>
      </w:r>
      <w:r>
        <w:rPr>
          <w:rFonts w:hint="eastAsia" w:ascii="仿宋_GB2312" w:hAnsi="仿宋_GB2312" w:eastAsia="仿宋_GB2312" w:cs="仿宋_GB2312"/>
          <w:bCs/>
          <w:sz w:val="32"/>
          <w:szCs w:val="32"/>
          <w:highlight w:val="none"/>
        </w:rPr>
        <w:t>鲁现代</w:t>
      </w:r>
      <w:r>
        <w:rPr>
          <w:rFonts w:hint="eastAsia" w:ascii="仿宋_GB2312" w:hAnsi="仿宋_GB2312" w:eastAsia="仿宋_GB2312" w:cs="仿宋_GB2312"/>
          <w:bCs/>
          <w:sz w:val="32"/>
          <w:szCs w:val="32"/>
          <w:highlight w:val="none"/>
          <w:lang w:val="en-US" w:eastAsia="zh-CN"/>
        </w:rPr>
        <w:t>团</w:t>
      </w:r>
      <w:r>
        <w:rPr>
          <w:rFonts w:hint="eastAsia" w:ascii="仿宋_GB2312" w:hAnsi="仿宋_GB2312" w:eastAsia="仿宋_GB2312" w:cs="仿宋_GB2312"/>
          <w:bCs/>
          <w:sz w:val="32"/>
          <w:szCs w:val="32"/>
          <w:highlight w:val="none"/>
        </w:rPr>
        <w:t>字</w:t>
      </w:r>
      <w:r>
        <w:rPr>
          <w:rFonts w:hint="eastAsia" w:ascii="仿宋_GB2312" w:hAnsi="仿宋_GB2312" w:eastAsia="仿宋_GB2312" w:cs="仿宋_GB2312"/>
          <w:b w:val="0"/>
          <w:bCs w:val="0"/>
          <w:sz w:val="32"/>
          <w:szCs w:val="32"/>
          <w:highlight w:val="none"/>
        </w:rPr>
        <w:t>〔</w:t>
      </w:r>
      <w:r>
        <w:rPr>
          <w:rFonts w:hint="eastAsia" w:ascii="仿宋_GB2312" w:hAnsi="仿宋_GB2312" w:eastAsia="仿宋_GB2312" w:cs="仿宋_GB2312"/>
          <w:b w:val="0"/>
          <w:bCs w:val="0"/>
          <w:sz w:val="32"/>
          <w:szCs w:val="32"/>
          <w:highlight w:val="none"/>
          <w:lang w:val="en-US" w:eastAsia="zh-CN"/>
        </w:rPr>
        <w:t>2022</w:t>
      </w:r>
      <w:r>
        <w:rPr>
          <w:rFonts w:hint="eastAsia" w:ascii="仿宋_GB2312" w:hAnsi="仿宋_GB2312" w:eastAsia="仿宋_GB2312" w:cs="仿宋_GB2312"/>
          <w:b w:val="0"/>
          <w:bCs w:val="0"/>
          <w:sz w:val="32"/>
          <w:szCs w:val="32"/>
          <w:highlight w:val="none"/>
        </w:rPr>
        <w:t>〕</w:t>
      </w:r>
      <w:r>
        <w:rPr>
          <w:rFonts w:hint="eastAsia" w:ascii="仿宋_GB2312" w:hAnsi="仿宋_GB2312" w:eastAsia="仿宋_GB2312" w:cs="仿宋_GB2312"/>
          <w:bCs/>
          <w:sz w:val="32"/>
          <w:szCs w:val="32"/>
          <w:highlight w:val="none"/>
          <w:lang w:val="en-US" w:eastAsia="zh-CN"/>
        </w:rPr>
        <w:t>7</w:t>
      </w:r>
      <w:r>
        <w:rPr>
          <w:rFonts w:hint="eastAsia" w:ascii="仿宋_GB2312" w:hAnsi="仿宋_GB2312" w:eastAsia="仿宋_GB2312" w:cs="仿宋_GB2312"/>
          <w:bCs/>
          <w:sz w:val="32"/>
          <w:szCs w:val="32"/>
          <w:highlight w:val="none"/>
        </w:rPr>
        <w:t>号</w:t>
      </w:r>
      <w:bookmarkStart w:id="0" w:name="_Toc12234"/>
    </w:p>
    <w:bookmarkEnd w:id="0"/>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 w:eastAsia="仿宋_GB2312" w:cs="Times New Roman"/>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after="313" w:afterLines="100" w:line="7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山东现代学院</w:t>
      </w:r>
      <w:r>
        <w:rPr>
          <w:rFonts w:hint="eastAsia" w:ascii="方正小标宋简体" w:hAnsi="方正小标宋简体" w:eastAsia="方正小标宋简体" w:cs="方正小标宋简体"/>
          <w:sz w:val="44"/>
          <w:szCs w:val="44"/>
          <w:lang w:val="en-US" w:eastAsia="zh-CN"/>
        </w:rPr>
        <w:t>德慧</w:t>
      </w:r>
      <w:r>
        <w:rPr>
          <w:rFonts w:hint="eastAsia" w:ascii="方正小标宋简体" w:hAnsi="方正小标宋简体" w:eastAsia="方正小标宋简体" w:cs="方正小标宋简体"/>
          <w:sz w:val="44"/>
          <w:szCs w:val="44"/>
        </w:rPr>
        <w:t>大讲堂实施方案</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highlight w:val="none"/>
        </w:rPr>
        <w:t>中华</w:t>
      </w:r>
      <w:r>
        <w:rPr>
          <w:rFonts w:hint="eastAsia" w:ascii="仿宋_GB2312" w:hAnsi="仿宋_GB2312" w:eastAsia="仿宋_GB2312" w:cs="仿宋_GB2312"/>
          <w:sz w:val="32"/>
          <w:szCs w:val="32"/>
          <w:highlight w:val="none"/>
          <w:lang w:val="en-US" w:eastAsia="zh-CN"/>
        </w:rPr>
        <w:t>优秀传统文化对</w:t>
      </w:r>
      <w:r>
        <w:rPr>
          <w:rFonts w:hint="eastAsia" w:ascii="仿宋_GB2312" w:hAnsi="仿宋_GB2312" w:eastAsia="仿宋_GB2312" w:cs="仿宋_GB2312"/>
          <w:sz w:val="32"/>
          <w:szCs w:val="32"/>
          <w:highlight w:val="none"/>
        </w:rPr>
        <w:t>丰富人的</w:t>
      </w:r>
      <w:r>
        <w:rPr>
          <w:rFonts w:hint="eastAsia" w:ascii="仿宋_GB2312" w:hAnsi="仿宋_GB2312" w:eastAsia="仿宋_GB2312" w:cs="仿宋_GB2312"/>
          <w:sz w:val="32"/>
          <w:szCs w:val="32"/>
          <w:highlight w:val="none"/>
          <w:lang w:val="en-US" w:eastAsia="zh-CN"/>
        </w:rPr>
        <w:t>精神世界</w:t>
      </w:r>
      <w:r>
        <w:rPr>
          <w:rFonts w:hint="eastAsia" w:ascii="仿宋_GB2312" w:hAnsi="仿宋_GB2312" w:eastAsia="仿宋_GB2312" w:cs="仿宋_GB2312"/>
          <w:sz w:val="32"/>
          <w:szCs w:val="32"/>
          <w:highlight w:val="none"/>
        </w:rPr>
        <w:t>、开阔人的胸襟、净化人的灵魂</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启迪人的智慧有着极其重要的作用。我校在全校范围内深入开展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每日一诵读</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每日一抄悟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每日一善行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每日一劳动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每日一运动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每日一改过</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每日一</w:t>
      </w:r>
      <w:r>
        <w:rPr>
          <w:rFonts w:hint="eastAsia" w:ascii="仿宋_GB2312" w:hAnsi="仿宋_GB2312" w:eastAsia="仿宋_GB2312" w:cs="仿宋_GB2312"/>
          <w:sz w:val="32"/>
          <w:szCs w:val="32"/>
          <w:lang w:val="en-US" w:eastAsia="zh-CN"/>
        </w:rPr>
        <w:t>总结</w:t>
      </w:r>
      <w:r>
        <w:rPr>
          <w:rFonts w:hint="eastAsia" w:ascii="仿宋_GB2312" w:hAnsi="仿宋_GB2312" w:eastAsia="仿宋_GB2312" w:cs="仿宋_GB2312"/>
          <w:sz w:val="32"/>
          <w:szCs w:val="32"/>
          <w:lang w:eastAsia="zh-CN"/>
        </w:rPr>
        <w:t>”的“七个一”</w:t>
      </w:r>
      <w:r>
        <w:rPr>
          <w:rFonts w:hint="eastAsia" w:ascii="仿宋_GB2312" w:hAnsi="仿宋_GB2312" w:eastAsia="仿宋_GB2312" w:cs="仿宋_GB2312"/>
          <w:sz w:val="32"/>
          <w:szCs w:val="32"/>
          <w:lang w:val="en-US" w:eastAsia="zh-CN"/>
        </w:rPr>
        <w:t>自我提升活动</w:t>
      </w:r>
      <w:r>
        <w:rPr>
          <w:rFonts w:hint="eastAsia" w:ascii="仿宋_GB2312" w:hAnsi="仿宋_GB2312" w:eastAsia="仿宋_GB2312" w:cs="仿宋_GB2312"/>
          <w:sz w:val="32"/>
          <w:szCs w:val="32"/>
          <w:highlight w:val="none"/>
          <w:lang w:val="en-US" w:eastAsia="zh-CN"/>
        </w:rPr>
        <w:t>，创新</w:t>
      </w:r>
      <w:r>
        <w:rPr>
          <w:rFonts w:hint="eastAsia" w:ascii="仿宋_GB2312" w:hAnsi="仿宋_GB2312" w:eastAsia="仿宋_GB2312" w:cs="仿宋_GB2312"/>
          <w:sz w:val="32"/>
          <w:szCs w:val="32"/>
          <w:highlight w:val="none"/>
        </w:rPr>
        <w:t>开展</w:t>
      </w:r>
      <w:r>
        <w:rPr>
          <w:rFonts w:hint="eastAsia" w:ascii="仿宋_GB2312" w:hAnsi="仿宋_GB2312" w:eastAsia="仿宋_GB2312" w:cs="仿宋_GB2312"/>
          <w:sz w:val="32"/>
          <w:szCs w:val="32"/>
          <w:highlight w:val="none"/>
          <w:lang w:val="en-US" w:eastAsia="zh-CN"/>
        </w:rPr>
        <w:t>德慧</w:t>
      </w:r>
      <w:r>
        <w:rPr>
          <w:rFonts w:hint="eastAsia" w:ascii="仿宋_GB2312" w:hAnsi="仿宋_GB2312" w:eastAsia="仿宋_GB2312" w:cs="仿宋_GB2312"/>
          <w:sz w:val="32"/>
          <w:szCs w:val="32"/>
          <w:highlight w:val="none"/>
        </w:rPr>
        <w:t>大讲堂</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弘扬中华优秀传统文化，</w:t>
      </w:r>
      <w:r>
        <w:rPr>
          <w:rFonts w:hint="eastAsia" w:ascii="仿宋_GB2312" w:hAnsi="仿宋_GB2312" w:eastAsia="仿宋_GB2312" w:cs="仿宋_GB2312"/>
          <w:sz w:val="32"/>
          <w:szCs w:val="32"/>
          <w:highlight w:val="none"/>
        </w:rPr>
        <w:t>滋养心田、启智润心</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rPr>
        <w:t>营造积极向上、健康文明的校园文化氛围</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全面提升师生综合素养</w:t>
      </w:r>
      <w:r>
        <w:rPr>
          <w:rFonts w:hint="eastAsia" w:ascii="仿宋_GB2312" w:hAnsi="仿宋_GB2312" w:eastAsia="仿宋_GB2312" w:cs="仿宋_GB2312"/>
          <w:sz w:val="32"/>
          <w:szCs w:val="32"/>
          <w:highlight w:val="none"/>
          <w:lang w:eastAsia="zh-CN"/>
        </w:rPr>
        <w:t>。</w:t>
      </w:r>
    </w:p>
    <w:p>
      <w:pPr>
        <w:keepNext w:val="0"/>
        <w:keepLines w:val="0"/>
        <w:pageBreakBefore w:val="0"/>
        <w:widowControl w:val="0"/>
        <w:numPr>
          <w:ilvl w:val="0"/>
          <w:numId w:val="1"/>
        </w:numPr>
        <w:kinsoku/>
        <w:wordWrap/>
        <w:overflowPunct/>
        <w:topLinePunct w:val="0"/>
        <w:autoSpaceDE/>
        <w:autoSpaceDN/>
        <w:bidi w:val="0"/>
        <w:adjustRightIn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指导思想</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highlight w:val="none"/>
          <w:lang w:val="en-US" w:eastAsia="zh-CN"/>
        </w:rPr>
        <w:t>习近平总书记在二十大报告中指出，“推进文化自信自强，铸就社会主义文化新辉煌。”</w:t>
      </w:r>
      <w:r>
        <w:rPr>
          <w:rFonts w:hint="eastAsia" w:ascii="仿宋_GB2312" w:hAnsi="仿宋_GB2312" w:eastAsia="仿宋_GB2312" w:cs="仿宋_GB2312"/>
          <w:sz w:val="32"/>
          <w:szCs w:val="32"/>
          <w:highlight w:val="none"/>
        </w:rPr>
        <w:t>中华</w:t>
      </w:r>
      <w:r>
        <w:rPr>
          <w:rFonts w:hint="eastAsia" w:ascii="仿宋_GB2312" w:hAnsi="仿宋_GB2312" w:eastAsia="仿宋_GB2312" w:cs="仿宋_GB2312"/>
          <w:sz w:val="32"/>
          <w:szCs w:val="32"/>
          <w:highlight w:val="none"/>
          <w:lang w:val="en-US" w:eastAsia="zh-CN"/>
        </w:rPr>
        <w:t>优秀传统文化</w:t>
      </w:r>
      <w:r>
        <w:rPr>
          <w:rFonts w:hint="eastAsia" w:ascii="仿宋_GB2312" w:hAnsi="仿宋_GB2312" w:eastAsia="仿宋_GB2312" w:cs="仿宋_GB2312"/>
          <w:sz w:val="32"/>
          <w:szCs w:val="32"/>
        </w:rPr>
        <w:t>是我国民族文化的精髓</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优秀传统文化</w:t>
      </w:r>
      <w:r>
        <w:rPr>
          <w:rFonts w:hint="eastAsia" w:ascii="仿宋_GB2312" w:hAnsi="仿宋_GB2312" w:eastAsia="仿宋_GB2312" w:cs="仿宋_GB2312"/>
          <w:sz w:val="32"/>
          <w:szCs w:val="32"/>
        </w:rPr>
        <w:t>作为民族智慧与民族精神的载体,是人类文明最宝贵的精神财富, 其中蕴含着丰富哲理,是我们中华民族的魂与根。</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rPr>
        <w:t>二、</w:t>
      </w:r>
      <w:r>
        <w:rPr>
          <w:rFonts w:hint="eastAsia" w:ascii="黑体" w:hAnsi="黑体" w:eastAsia="黑体" w:cs="黑体"/>
          <w:sz w:val="32"/>
          <w:szCs w:val="32"/>
          <w:lang w:val="en-US" w:eastAsia="zh-CN"/>
        </w:rPr>
        <w:t>活动目标</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二级学院</w:t>
      </w:r>
      <w:r>
        <w:rPr>
          <w:rFonts w:hint="eastAsia" w:ascii="仿宋_GB2312" w:hAnsi="仿宋_GB2312" w:eastAsia="仿宋_GB2312" w:cs="仿宋_GB2312"/>
          <w:sz w:val="32"/>
          <w:szCs w:val="32"/>
          <w:lang w:val="en-US" w:eastAsia="zh-CN"/>
        </w:rPr>
        <w:t>要</w:t>
      </w:r>
      <w:r>
        <w:rPr>
          <w:rFonts w:hint="eastAsia" w:ascii="仿宋_GB2312" w:hAnsi="仿宋_GB2312" w:eastAsia="仿宋_GB2312" w:cs="仿宋_GB2312"/>
          <w:sz w:val="32"/>
          <w:szCs w:val="32"/>
        </w:rPr>
        <w:t>深刻理解</w:t>
      </w:r>
      <w:r>
        <w:rPr>
          <w:rFonts w:hint="eastAsia" w:ascii="仿宋_GB2312" w:hAnsi="仿宋_GB2312" w:eastAsia="仿宋_GB2312" w:cs="仿宋_GB2312"/>
          <w:sz w:val="32"/>
          <w:szCs w:val="32"/>
          <w:lang w:val="en-US" w:eastAsia="zh-CN"/>
        </w:rPr>
        <w:t>优秀传统文化</w:t>
      </w:r>
      <w:r>
        <w:rPr>
          <w:rFonts w:hint="eastAsia" w:ascii="仿宋_GB2312" w:hAnsi="仿宋_GB2312" w:eastAsia="仿宋_GB2312" w:cs="仿宋_GB2312"/>
          <w:sz w:val="32"/>
          <w:szCs w:val="32"/>
        </w:rPr>
        <w:t>的教育作用，通过</w:t>
      </w:r>
      <w:r>
        <w:rPr>
          <w:rFonts w:hint="eastAsia" w:ascii="仿宋_GB2312" w:hAnsi="仿宋_GB2312" w:eastAsia="仿宋_GB2312" w:cs="仿宋_GB2312"/>
          <w:sz w:val="32"/>
          <w:szCs w:val="32"/>
          <w:lang w:val="en-US" w:eastAsia="zh-CN"/>
        </w:rPr>
        <w:t>线上线下相结合的方式，</w:t>
      </w:r>
      <w:r>
        <w:rPr>
          <w:rFonts w:hint="eastAsia" w:ascii="仿宋_GB2312" w:hAnsi="仿宋_GB2312" w:eastAsia="仿宋_GB2312" w:cs="仿宋_GB2312"/>
          <w:sz w:val="32"/>
          <w:szCs w:val="32"/>
        </w:rPr>
        <w:t>引导学生积极参加</w:t>
      </w:r>
      <w:r>
        <w:rPr>
          <w:rFonts w:hint="eastAsia" w:ascii="仿宋_GB2312" w:hAnsi="仿宋_GB2312" w:eastAsia="仿宋_GB2312" w:cs="仿宋_GB2312"/>
          <w:sz w:val="32"/>
          <w:szCs w:val="32"/>
          <w:lang w:val="en-US" w:eastAsia="zh-CN"/>
        </w:rPr>
        <w:t>德慧</w:t>
      </w:r>
      <w:r>
        <w:rPr>
          <w:rFonts w:hint="eastAsia" w:ascii="仿宋_GB2312" w:hAnsi="仿宋_GB2312" w:eastAsia="仿宋_GB2312" w:cs="仿宋_GB2312"/>
          <w:sz w:val="32"/>
          <w:szCs w:val="32"/>
        </w:rPr>
        <w:t>大讲堂活动。在</w:t>
      </w:r>
      <w:r>
        <w:rPr>
          <w:rFonts w:hint="eastAsia" w:ascii="仿宋_GB2312" w:hAnsi="仿宋_GB2312" w:eastAsia="仿宋_GB2312" w:cs="仿宋_GB2312"/>
          <w:sz w:val="32"/>
          <w:szCs w:val="32"/>
          <w:lang w:val="en-US" w:eastAsia="zh-CN"/>
        </w:rPr>
        <w:t>学生处</w:t>
      </w:r>
      <w:r>
        <w:rPr>
          <w:rFonts w:hint="eastAsia" w:ascii="仿宋_GB2312" w:hAnsi="仿宋_GB2312" w:eastAsia="仿宋_GB2312" w:cs="仿宋_GB2312"/>
          <w:sz w:val="32"/>
          <w:szCs w:val="32"/>
        </w:rPr>
        <w:t>的统一</w:t>
      </w:r>
      <w:r>
        <w:rPr>
          <w:rFonts w:hint="eastAsia" w:ascii="仿宋_GB2312" w:hAnsi="仿宋_GB2312" w:eastAsia="仿宋_GB2312" w:cs="仿宋_GB2312"/>
          <w:sz w:val="32"/>
          <w:szCs w:val="32"/>
          <w:highlight w:val="none"/>
          <w:lang w:val="en-US" w:eastAsia="zh-CN"/>
        </w:rPr>
        <w:t>领导</w:t>
      </w:r>
      <w:r>
        <w:rPr>
          <w:rFonts w:hint="eastAsia" w:ascii="仿宋_GB2312" w:hAnsi="仿宋_GB2312" w:eastAsia="仿宋_GB2312" w:cs="仿宋_GB2312"/>
          <w:sz w:val="32"/>
          <w:szCs w:val="32"/>
          <w:highlight w:val="none"/>
        </w:rPr>
        <w:t>下</w:t>
      </w:r>
      <w:r>
        <w:rPr>
          <w:rFonts w:hint="eastAsia" w:ascii="仿宋_GB2312" w:hAnsi="仿宋_GB2312" w:eastAsia="仿宋_GB2312" w:cs="仿宋_GB2312"/>
          <w:sz w:val="32"/>
          <w:szCs w:val="32"/>
        </w:rPr>
        <w:t>，积极开展</w:t>
      </w:r>
      <w:r>
        <w:rPr>
          <w:rFonts w:hint="eastAsia" w:ascii="仿宋_GB2312" w:hAnsi="仿宋_GB2312" w:eastAsia="仿宋_GB2312" w:cs="仿宋_GB2312"/>
          <w:sz w:val="32"/>
          <w:szCs w:val="32"/>
          <w:lang w:val="en-US" w:eastAsia="zh-CN"/>
        </w:rPr>
        <w:t>德慧</w:t>
      </w:r>
      <w:r>
        <w:rPr>
          <w:rFonts w:hint="eastAsia" w:ascii="仿宋_GB2312" w:hAnsi="仿宋_GB2312" w:eastAsia="仿宋_GB2312" w:cs="仿宋_GB2312"/>
          <w:sz w:val="32"/>
          <w:szCs w:val="32"/>
        </w:rPr>
        <w:t>大讲堂</w:t>
      </w:r>
      <w:r>
        <w:rPr>
          <w:rFonts w:hint="eastAsia" w:ascii="仿宋_GB2312" w:hAnsi="仿宋_GB2312" w:eastAsia="仿宋_GB2312" w:cs="仿宋_GB2312"/>
          <w:sz w:val="32"/>
          <w:szCs w:val="32"/>
          <w:lang w:val="en-US" w:eastAsia="zh-CN"/>
        </w:rPr>
        <w:t>宣讲员</w:t>
      </w:r>
      <w:r>
        <w:rPr>
          <w:rFonts w:hint="eastAsia" w:ascii="仿宋_GB2312" w:hAnsi="仿宋_GB2312" w:eastAsia="仿宋_GB2312" w:cs="仿宋_GB2312"/>
          <w:sz w:val="32"/>
          <w:szCs w:val="32"/>
        </w:rPr>
        <w:t>的选拔，并按照工作要求，引导</w:t>
      </w:r>
      <w:r>
        <w:rPr>
          <w:rFonts w:hint="eastAsia" w:ascii="仿宋_GB2312" w:hAnsi="仿宋_GB2312" w:eastAsia="仿宋_GB2312" w:cs="仿宋_GB2312"/>
          <w:sz w:val="32"/>
          <w:szCs w:val="32"/>
          <w:highlight w:val="none"/>
        </w:rPr>
        <w:t>自习</w:t>
      </w:r>
      <w:r>
        <w:rPr>
          <w:rFonts w:hint="eastAsia" w:ascii="仿宋_GB2312" w:hAnsi="仿宋_GB2312" w:eastAsia="仿宋_GB2312" w:cs="仿宋_GB2312"/>
          <w:sz w:val="32"/>
          <w:szCs w:val="32"/>
        </w:rPr>
        <w:t>课同学</w:t>
      </w:r>
      <w:r>
        <w:rPr>
          <w:rFonts w:hint="eastAsia" w:ascii="仿宋_GB2312" w:hAnsi="仿宋_GB2312" w:eastAsia="仿宋_GB2312" w:cs="仿宋_GB2312"/>
          <w:sz w:val="32"/>
          <w:szCs w:val="32"/>
          <w:lang w:val="en-US" w:eastAsia="zh-CN"/>
        </w:rPr>
        <w:t>积极</w:t>
      </w:r>
      <w:r>
        <w:rPr>
          <w:rFonts w:hint="eastAsia" w:ascii="仿宋_GB2312" w:hAnsi="仿宋_GB2312" w:eastAsia="仿宋_GB2312" w:cs="仿宋_GB2312"/>
          <w:sz w:val="32"/>
          <w:szCs w:val="32"/>
        </w:rPr>
        <w:t>参加</w:t>
      </w:r>
      <w:r>
        <w:rPr>
          <w:rFonts w:hint="eastAsia" w:ascii="仿宋_GB2312" w:hAnsi="仿宋_GB2312" w:eastAsia="仿宋_GB2312" w:cs="仿宋_GB2312"/>
          <w:sz w:val="32"/>
          <w:szCs w:val="32"/>
          <w:lang w:val="en-US" w:eastAsia="zh-CN"/>
        </w:rPr>
        <w:t>德慧</w:t>
      </w:r>
      <w:r>
        <w:rPr>
          <w:rFonts w:hint="eastAsia" w:ascii="仿宋_GB2312" w:hAnsi="仿宋_GB2312" w:eastAsia="仿宋_GB2312" w:cs="仿宋_GB2312"/>
          <w:sz w:val="32"/>
          <w:szCs w:val="32"/>
        </w:rPr>
        <w:t>大讲堂活动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通过大讲堂的开展来提高同学们的自身道德修养和树立正确的价值观。</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三、活动计划</w:t>
      </w:r>
    </w:p>
    <w:p>
      <w:pPr>
        <w:pStyle w:val="12"/>
        <w:keepNext w:val="0"/>
        <w:keepLines w:val="0"/>
        <w:pageBreakBefore w:val="0"/>
        <w:widowControl w:val="0"/>
        <w:kinsoku/>
        <w:wordWrap/>
        <w:overflowPunct/>
        <w:topLinePunct w:val="0"/>
        <w:autoSpaceDE/>
        <w:autoSpaceDN/>
        <w:bidi w:val="0"/>
        <w:adjustRightInd/>
        <w:spacing w:line="560" w:lineRule="exact"/>
        <w:textAlignment w:val="auto"/>
        <w:rPr>
          <w:rFonts w:hint="eastAsia" w:ascii="方正楷体_GB2312" w:hAnsi="方正楷体_GB2312" w:eastAsia="方正楷体_GB2312" w:cs="方正楷体_GB2312"/>
          <w:sz w:val="32"/>
          <w:szCs w:val="32"/>
        </w:rPr>
      </w:pPr>
      <w:r>
        <w:rPr>
          <w:rFonts w:hint="eastAsia" w:ascii="方正楷体_GB2312" w:hAnsi="方正楷体_GB2312" w:eastAsia="方正楷体_GB2312" w:cs="方正楷体_GB2312"/>
          <w:sz w:val="32"/>
          <w:szCs w:val="32"/>
        </w:rPr>
        <w:t>（一）宣传阶段</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工作对接</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计划于</w:t>
      </w:r>
      <w:r>
        <w:rPr>
          <w:rFonts w:hint="eastAsia" w:ascii="仿宋_GB2312" w:hAnsi="仿宋_GB2312" w:eastAsia="仿宋_GB2312" w:cs="仿宋_GB2312"/>
          <w:color w:val="auto"/>
          <w:sz w:val="32"/>
          <w:szCs w:val="32"/>
          <w:highlight w:val="none"/>
        </w:rPr>
        <w:t>周</w:t>
      </w:r>
      <w:r>
        <w:rPr>
          <w:rFonts w:hint="eastAsia" w:ascii="仿宋_GB2312" w:hAnsi="仿宋_GB2312" w:eastAsia="仿宋_GB2312" w:cs="仿宋_GB2312"/>
          <w:color w:val="auto"/>
          <w:sz w:val="32"/>
          <w:szCs w:val="32"/>
          <w:highlight w:val="none"/>
          <w:lang w:val="en-US" w:eastAsia="zh-CN"/>
        </w:rPr>
        <w:t>五</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sz w:val="32"/>
          <w:szCs w:val="32"/>
          <w:highlight w:val="none"/>
        </w:rPr>
        <w:t>2023年</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日</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000000"/>
          <w:sz w:val="32"/>
          <w:szCs w:val="32"/>
          <w:highlight w:val="none"/>
          <w:lang w:val="en-US" w:eastAsia="zh-CN"/>
        </w:rPr>
        <w:t>召开</w:t>
      </w:r>
      <w:r>
        <w:rPr>
          <w:rFonts w:hint="eastAsia" w:ascii="仿宋_GB2312" w:hAnsi="仿宋_GB2312" w:eastAsia="仿宋_GB2312" w:cs="仿宋_GB2312"/>
          <w:sz w:val="32"/>
          <w:szCs w:val="32"/>
          <w:highlight w:val="none"/>
        </w:rPr>
        <w:t>与</w:t>
      </w:r>
      <w:r>
        <w:rPr>
          <w:rFonts w:hint="eastAsia" w:ascii="仿宋_GB2312" w:hAnsi="仿宋_GB2312" w:eastAsia="仿宋_GB2312" w:cs="仿宋_GB2312"/>
          <w:sz w:val="32"/>
          <w:szCs w:val="32"/>
          <w:highlight w:val="none"/>
          <w:lang w:val="en-US" w:eastAsia="zh-CN"/>
        </w:rPr>
        <w:t>二级学院</w:t>
      </w:r>
      <w:r>
        <w:rPr>
          <w:rFonts w:hint="eastAsia" w:ascii="仿宋_GB2312" w:hAnsi="仿宋_GB2312" w:eastAsia="仿宋_GB2312" w:cs="仿宋_GB2312"/>
          <w:sz w:val="32"/>
          <w:szCs w:val="32"/>
          <w:highlight w:val="none"/>
        </w:rPr>
        <w:t>对接会</w:t>
      </w:r>
      <w:r>
        <w:rPr>
          <w:rFonts w:hint="eastAsia" w:ascii="仿宋_GB2312" w:hAnsi="仿宋_GB2312" w:eastAsia="仿宋_GB2312" w:cs="仿宋_GB2312"/>
          <w:sz w:val="32"/>
          <w:szCs w:val="32"/>
        </w:rPr>
        <w:t>，向</w:t>
      </w:r>
      <w:r>
        <w:rPr>
          <w:rFonts w:hint="eastAsia" w:ascii="仿宋_GB2312" w:hAnsi="仿宋_GB2312" w:eastAsia="仿宋_GB2312" w:cs="仿宋_GB2312"/>
          <w:sz w:val="32"/>
          <w:szCs w:val="32"/>
          <w:lang w:val="en-US" w:eastAsia="zh-CN"/>
        </w:rPr>
        <w:t>二级学院</w:t>
      </w:r>
      <w:r>
        <w:rPr>
          <w:rFonts w:hint="eastAsia" w:ascii="仿宋_GB2312" w:hAnsi="仿宋_GB2312" w:eastAsia="仿宋_GB2312" w:cs="仿宋_GB2312"/>
          <w:sz w:val="32"/>
          <w:szCs w:val="32"/>
        </w:rPr>
        <w:t>介绍国学、汉服、棋艺、古琴、传统手工、书画</w:t>
      </w:r>
      <w:r>
        <w:rPr>
          <w:rFonts w:hint="eastAsia" w:ascii="仿宋_GB2312" w:hAnsi="仿宋_GB2312" w:eastAsia="仿宋_GB2312" w:cs="仿宋_GB2312"/>
          <w:sz w:val="32"/>
          <w:szCs w:val="32"/>
          <w:lang w:val="en-US" w:eastAsia="zh-CN"/>
        </w:rPr>
        <w:t>等优秀传统文化相关知识</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二级学院</w:t>
      </w:r>
      <w:r>
        <w:rPr>
          <w:rFonts w:hint="eastAsia" w:ascii="仿宋_GB2312" w:hAnsi="仿宋_GB2312" w:eastAsia="仿宋_GB2312" w:cs="仿宋_GB2312"/>
          <w:sz w:val="32"/>
          <w:szCs w:val="32"/>
        </w:rPr>
        <w:t>从党员、入党积极分子、学生干部、</w:t>
      </w:r>
      <w:r>
        <w:rPr>
          <w:rFonts w:hint="eastAsia" w:ascii="仿宋_GB2312" w:hAnsi="仿宋_GB2312" w:eastAsia="仿宋_GB2312" w:cs="仿宋_GB2312"/>
          <w:sz w:val="32"/>
          <w:szCs w:val="32"/>
          <w:lang w:val="en-US" w:eastAsia="zh-CN"/>
        </w:rPr>
        <w:t>传统文化类</w:t>
      </w:r>
      <w:r>
        <w:rPr>
          <w:rFonts w:hint="eastAsia" w:ascii="仿宋_GB2312" w:hAnsi="仿宋_GB2312" w:eastAsia="仿宋_GB2312" w:cs="仿宋_GB2312"/>
          <w:sz w:val="32"/>
          <w:szCs w:val="32"/>
        </w:rPr>
        <w:t>社团及</w:t>
      </w:r>
      <w:r>
        <w:rPr>
          <w:rFonts w:hint="eastAsia" w:ascii="仿宋_GB2312" w:hAnsi="仿宋_GB2312" w:eastAsia="仿宋_GB2312" w:cs="仿宋_GB2312"/>
          <w:sz w:val="32"/>
          <w:szCs w:val="32"/>
          <w:lang w:val="en-US" w:eastAsia="zh-CN"/>
        </w:rPr>
        <w:t>传统文化</w:t>
      </w:r>
      <w:r>
        <w:rPr>
          <w:rFonts w:hint="eastAsia" w:ascii="仿宋_GB2312" w:hAnsi="仿宋_GB2312" w:eastAsia="仿宋_GB2312" w:cs="仿宋_GB2312"/>
          <w:sz w:val="32"/>
          <w:szCs w:val="32"/>
        </w:rPr>
        <w:t>爱好者中</w:t>
      </w:r>
      <w:r>
        <w:rPr>
          <w:rFonts w:hint="eastAsia" w:ascii="仿宋_GB2312" w:hAnsi="仿宋_GB2312" w:eastAsia="仿宋_GB2312" w:cs="仿宋_GB2312"/>
          <w:sz w:val="32"/>
          <w:szCs w:val="32"/>
          <w:lang w:val="en-US" w:eastAsia="zh-CN"/>
        </w:rPr>
        <w:t>选拔德慧大讲堂宣讲员</w:t>
      </w:r>
      <w:r>
        <w:rPr>
          <w:rFonts w:hint="eastAsia" w:ascii="仿宋_GB2312" w:hAnsi="仿宋_GB2312" w:eastAsia="仿宋_GB2312" w:cs="仿宋_GB2312"/>
          <w:sz w:val="32"/>
          <w:szCs w:val="32"/>
        </w:rPr>
        <w:t>，确保</w:t>
      </w:r>
      <w:r>
        <w:rPr>
          <w:rFonts w:hint="eastAsia" w:ascii="仿宋_GB2312" w:hAnsi="仿宋_GB2312" w:eastAsia="仿宋_GB2312" w:cs="仿宋_GB2312"/>
          <w:sz w:val="32"/>
          <w:szCs w:val="32"/>
          <w:lang w:val="en-US" w:eastAsia="zh-CN"/>
        </w:rPr>
        <w:t>宣讲员</w:t>
      </w:r>
      <w:r>
        <w:rPr>
          <w:rFonts w:hint="eastAsia" w:ascii="仿宋_GB2312" w:hAnsi="仿宋_GB2312" w:eastAsia="仿宋_GB2312" w:cs="仿宋_GB2312"/>
          <w:sz w:val="32"/>
          <w:szCs w:val="32"/>
        </w:rPr>
        <w:t>具有</w:t>
      </w:r>
      <w:r>
        <w:rPr>
          <w:rFonts w:hint="eastAsia" w:ascii="仿宋_GB2312" w:hAnsi="仿宋_GB2312" w:eastAsia="仿宋_GB2312" w:cs="仿宋_GB2312"/>
          <w:sz w:val="32"/>
          <w:szCs w:val="32"/>
          <w:lang w:val="en-US" w:eastAsia="zh-CN"/>
        </w:rPr>
        <w:t>优秀的宣传演讲能力，具有</w:t>
      </w:r>
      <w:r>
        <w:rPr>
          <w:rFonts w:hint="eastAsia" w:ascii="仿宋_GB2312" w:hAnsi="仿宋_GB2312" w:eastAsia="仿宋_GB2312" w:cs="仿宋_GB2312"/>
          <w:sz w:val="32"/>
          <w:szCs w:val="32"/>
        </w:rPr>
        <w:t>正确的社会主义核心价值观与正确的思想意识形态，</w:t>
      </w:r>
      <w:r>
        <w:rPr>
          <w:rFonts w:hint="eastAsia" w:ascii="仿宋_GB2312" w:hAnsi="仿宋_GB2312" w:eastAsia="仿宋_GB2312" w:cs="仿宋_GB2312"/>
          <w:sz w:val="32"/>
          <w:szCs w:val="32"/>
          <w:highlight w:val="none"/>
        </w:rPr>
        <w:t>并于</w:t>
      </w:r>
      <w:r>
        <w:rPr>
          <w:rFonts w:hint="eastAsia" w:ascii="仿宋_GB2312" w:hAnsi="仿宋_GB2312" w:eastAsia="仿宋_GB2312" w:cs="仿宋_GB2312"/>
          <w:color w:val="auto"/>
          <w:sz w:val="32"/>
          <w:szCs w:val="32"/>
          <w:highlight w:val="none"/>
        </w:rPr>
        <w:t>周</w:t>
      </w:r>
      <w:r>
        <w:rPr>
          <w:rFonts w:hint="eastAsia" w:ascii="仿宋_GB2312" w:hAnsi="仿宋_GB2312" w:eastAsia="仿宋_GB2312" w:cs="仿宋_GB2312"/>
          <w:color w:val="auto"/>
          <w:sz w:val="32"/>
          <w:szCs w:val="32"/>
          <w:highlight w:val="none"/>
          <w:lang w:val="en-US" w:eastAsia="zh-CN"/>
        </w:rPr>
        <w:t>一</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2023年4月17日）</w:t>
      </w:r>
      <w:r>
        <w:rPr>
          <w:rFonts w:hint="eastAsia" w:ascii="仿宋_GB2312" w:hAnsi="仿宋_GB2312" w:eastAsia="仿宋_GB2312" w:cs="仿宋_GB2312"/>
          <w:sz w:val="32"/>
          <w:szCs w:val="32"/>
          <w:highlight w:val="none"/>
        </w:rPr>
        <w:t>前将推荐表格上报</w:t>
      </w:r>
      <w:r>
        <w:rPr>
          <w:rFonts w:hint="eastAsia" w:ascii="仿宋_GB2312" w:hAnsi="仿宋_GB2312" w:eastAsia="仿宋_GB2312" w:cs="仿宋_GB2312"/>
          <w:sz w:val="32"/>
          <w:szCs w:val="32"/>
          <w:highlight w:val="none"/>
          <w:lang w:val="en-US" w:eastAsia="zh-CN"/>
        </w:rPr>
        <w:t>到学生处，具体见附件1。</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2.开班仪式</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定于在2023年4月10日，于新图书馆报告厅举行开班仪式。</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3.宣传组织</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二级学院</w:t>
      </w:r>
      <w:r>
        <w:rPr>
          <w:rFonts w:hint="eastAsia" w:ascii="仿宋_GB2312" w:hAnsi="仿宋_GB2312" w:eastAsia="仿宋_GB2312" w:cs="仿宋_GB2312"/>
          <w:sz w:val="32"/>
          <w:szCs w:val="32"/>
        </w:rPr>
        <w:t>将</w:t>
      </w:r>
      <w:r>
        <w:rPr>
          <w:rFonts w:hint="eastAsia" w:ascii="仿宋_GB2312" w:hAnsi="仿宋_GB2312" w:eastAsia="仿宋_GB2312" w:cs="仿宋_GB2312"/>
          <w:sz w:val="32"/>
          <w:szCs w:val="32"/>
          <w:lang w:val="en-US" w:eastAsia="zh-CN"/>
        </w:rPr>
        <w:t>优秀传统文化</w:t>
      </w:r>
      <w:r>
        <w:rPr>
          <w:rFonts w:hint="eastAsia" w:ascii="仿宋_GB2312" w:hAnsi="仿宋_GB2312" w:eastAsia="仿宋_GB2312" w:cs="仿宋_GB2312"/>
          <w:sz w:val="32"/>
          <w:szCs w:val="32"/>
        </w:rPr>
        <w:t>学习创新方式宣</w:t>
      </w:r>
      <w:r>
        <w:rPr>
          <w:rFonts w:hint="eastAsia" w:ascii="仿宋_GB2312" w:hAnsi="仿宋_GB2312" w:eastAsia="仿宋_GB2312" w:cs="仿宋_GB2312"/>
          <w:sz w:val="32"/>
          <w:szCs w:val="32"/>
          <w:lang w:val="en-US" w:eastAsia="zh-CN"/>
        </w:rPr>
        <w:t>传</w:t>
      </w:r>
      <w:r>
        <w:rPr>
          <w:rFonts w:hint="eastAsia" w:ascii="仿宋_GB2312" w:hAnsi="仿宋_GB2312" w:eastAsia="仿宋_GB2312" w:cs="仿宋_GB2312"/>
          <w:sz w:val="32"/>
          <w:szCs w:val="32"/>
        </w:rPr>
        <w:t>到位，引导学生主动参与到</w:t>
      </w:r>
      <w:r>
        <w:rPr>
          <w:rFonts w:hint="eastAsia" w:ascii="仿宋_GB2312" w:hAnsi="仿宋_GB2312" w:eastAsia="仿宋_GB2312" w:cs="仿宋_GB2312"/>
          <w:sz w:val="32"/>
          <w:szCs w:val="32"/>
          <w:lang w:val="en-US" w:eastAsia="zh-CN"/>
        </w:rPr>
        <w:t>德慧</w:t>
      </w:r>
      <w:r>
        <w:rPr>
          <w:rFonts w:hint="eastAsia" w:ascii="仿宋_GB2312" w:hAnsi="仿宋_GB2312" w:eastAsia="仿宋_GB2312" w:cs="仿宋_GB2312"/>
          <w:sz w:val="32"/>
          <w:szCs w:val="32"/>
        </w:rPr>
        <w:t>大讲堂活动</w:t>
      </w:r>
      <w:r>
        <w:rPr>
          <w:rFonts w:hint="eastAsia" w:ascii="仿宋_GB2312" w:hAnsi="仿宋_GB2312" w:eastAsia="仿宋_GB2312" w:cs="仿宋_GB2312"/>
          <w:sz w:val="32"/>
          <w:szCs w:val="32"/>
          <w:lang w:val="en-US" w:eastAsia="zh-CN"/>
        </w:rPr>
        <w:t>中来</w:t>
      </w:r>
      <w:r>
        <w:rPr>
          <w:rFonts w:hint="eastAsia" w:ascii="仿宋_GB2312" w:hAnsi="仿宋_GB2312" w:eastAsia="仿宋_GB2312" w:cs="仿宋_GB2312"/>
          <w:sz w:val="32"/>
          <w:szCs w:val="32"/>
        </w:rPr>
        <w:t>。</w:t>
      </w:r>
    </w:p>
    <w:p>
      <w:pPr>
        <w:pStyle w:val="12"/>
        <w:keepNext w:val="0"/>
        <w:keepLines w:val="0"/>
        <w:pageBreakBefore w:val="0"/>
        <w:widowControl w:val="0"/>
        <w:kinsoku/>
        <w:wordWrap/>
        <w:overflowPunct/>
        <w:topLinePunct w:val="0"/>
        <w:autoSpaceDE/>
        <w:autoSpaceDN/>
        <w:bidi w:val="0"/>
        <w:adjustRightInd/>
        <w:spacing w:line="560" w:lineRule="exact"/>
        <w:textAlignment w:val="auto"/>
        <w:rPr>
          <w:rFonts w:hint="eastAsia" w:ascii="楷体" w:hAnsi="楷体" w:eastAsia="楷体" w:cs="楷体"/>
          <w:sz w:val="32"/>
          <w:szCs w:val="32"/>
        </w:rPr>
      </w:pPr>
      <w:r>
        <w:rPr>
          <w:rFonts w:hint="eastAsia" w:ascii="楷体" w:hAnsi="楷体" w:eastAsia="楷体" w:cs="楷体"/>
          <w:sz w:val="32"/>
          <w:szCs w:val="32"/>
        </w:rPr>
        <w:t>（二）</w:t>
      </w:r>
      <w:r>
        <w:rPr>
          <w:rFonts w:hint="eastAsia" w:ascii="楷体" w:hAnsi="楷体" w:eastAsia="楷体" w:cs="楷体"/>
          <w:sz w:val="32"/>
          <w:szCs w:val="32"/>
          <w:lang w:val="en-US" w:eastAsia="zh-CN"/>
        </w:rPr>
        <w:t>宣讲员</w:t>
      </w:r>
      <w:r>
        <w:rPr>
          <w:rFonts w:hint="eastAsia" w:ascii="楷体" w:hAnsi="楷体" w:eastAsia="楷体" w:cs="楷体"/>
          <w:sz w:val="32"/>
          <w:szCs w:val="32"/>
        </w:rPr>
        <w:t>选拔</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学生处成立山东现代学院</w:t>
      </w:r>
      <w:r>
        <w:rPr>
          <w:rFonts w:hint="eastAsia" w:ascii="仿宋_GB2312" w:hAnsi="仿宋_GB2312" w:eastAsia="仿宋_GB2312" w:cs="仿宋_GB2312"/>
          <w:sz w:val="32"/>
          <w:szCs w:val="32"/>
          <w:highlight w:val="none"/>
          <w:lang w:val="en-US" w:eastAsia="zh-CN"/>
        </w:rPr>
        <w:t>德慧大讲堂</w:t>
      </w:r>
      <w:r>
        <w:rPr>
          <w:rFonts w:hint="eastAsia" w:ascii="仿宋_GB2312" w:hAnsi="仿宋_GB2312" w:eastAsia="仿宋_GB2312" w:cs="仿宋_GB2312"/>
          <w:sz w:val="32"/>
          <w:szCs w:val="32"/>
          <w:lang w:val="en-US" w:eastAsia="zh-CN"/>
        </w:rPr>
        <w:t>文化宣讲</w:t>
      </w:r>
      <w:r>
        <w:rPr>
          <w:rFonts w:hint="eastAsia" w:ascii="仿宋_GB2312" w:hAnsi="仿宋_GB2312" w:eastAsia="仿宋_GB2312" w:cs="仿宋_GB2312"/>
          <w:sz w:val="32"/>
          <w:szCs w:val="32"/>
        </w:rPr>
        <w:t>团</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highlight w:val="none"/>
          <w:lang w:val="en-US" w:eastAsia="zh-CN"/>
        </w:rPr>
        <w:t>由学生处</w:t>
      </w:r>
      <w:r>
        <w:rPr>
          <w:rFonts w:hint="eastAsia" w:ascii="仿宋_GB2312" w:hAnsi="仿宋_GB2312" w:eastAsia="仿宋_GB2312" w:cs="仿宋_GB2312"/>
          <w:sz w:val="32"/>
          <w:szCs w:val="32"/>
          <w:highlight w:val="none"/>
        </w:rPr>
        <w:t>统一面试</w:t>
      </w:r>
      <w:r>
        <w:rPr>
          <w:rFonts w:hint="eastAsia" w:ascii="仿宋_GB2312" w:hAnsi="仿宋_GB2312" w:eastAsia="仿宋_GB2312" w:cs="仿宋_GB2312"/>
          <w:sz w:val="32"/>
          <w:szCs w:val="32"/>
          <w:highlight w:val="none"/>
          <w:lang w:val="en-US" w:eastAsia="zh-CN"/>
        </w:rPr>
        <w:t>二级学院推荐的宣讲员，</w:t>
      </w:r>
      <w:r>
        <w:rPr>
          <w:rFonts w:hint="eastAsia" w:ascii="仿宋_GB2312" w:hAnsi="仿宋_GB2312" w:eastAsia="仿宋_GB2312" w:cs="仿宋_GB2312"/>
          <w:sz w:val="32"/>
          <w:szCs w:val="32"/>
        </w:rPr>
        <w:t>面试合格的</w:t>
      </w:r>
      <w:r>
        <w:rPr>
          <w:rFonts w:hint="eastAsia" w:ascii="仿宋_GB2312" w:hAnsi="仿宋_GB2312" w:eastAsia="仿宋_GB2312" w:cs="仿宋_GB2312"/>
          <w:sz w:val="32"/>
          <w:szCs w:val="32"/>
          <w:highlight w:val="none"/>
          <w:lang w:val="en-US" w:eastAsia="zh-CN"/>
        </w:rPr>
        <w:t>宣讲员</w:t>
      </w:r>
      <w:r>
        <w:rPr>
          <w:rFonts w:hint="eastAsia" w:ascii="仿宋_GB2312" w:hAnsi="仿宋_GB2312" w:eastAsia="仿宋_GB2312" w:cs="仿宋_GB2312"/>
          <w:sz w:val="32"/>
          <w:szCs w:val="32"/>
        </w:rPr>
        <w:t>，颁发</w:t>
      </w:r>
      <w:r>
        <w:rPr>
          <w:rFonts w:hint="eastAsia" w:ascii="仿宋_GB2312" w:hAnsi="仿宋_GB2312" w:eastAsia="仿宋_GB2312" w:cs="仿宋_GB2312"/>
          <w:sz w:val="32"/>
          <w:szCs w:val="32"/>
          <w:lang w:val="en-US" w:eastAsia="zh-CN"/>
        </w:rPr>
        <w:t>山东现代学院</w:t>
      </w:r>
      <w:r>
        <w:rPr>
          <w:rFonts w:hint="eastAsia" w:ascii="仿宋_GB2312" w:hAnsi="仿宋_GB2312" w:eastAsia="仿宋_GB2312" w:cs="仿宋_GB2312"/>
          <w:sz w:val="32"/>
          <w:szCs w:val="32"/>
          <w:highlight w:val="none"/>
          <w:lang w:val="en-US" w:eastAsia="zh-CN"/>
        </w:rPr>
        <w:t>德慧大讲堂</w:t>
      </w:r>
      <w:r>
        <w:rPr>
          <w:rFonts w:hint="eastAsia" w:ascii="仿宋_GB2312" w:hAnsi="仿宋_GB2312" w:eastAsia="仿宋_GB2312" w:cs="仿宋_GB2312"/>
          <w:sz w:val="32"/>
          <w:szCs w:val="32"/>
          <w:lang w:val="en-US" w:eastAsia="zh-CN"/>
        </w:rPr>
        <w:t>文化宣讲员</w:t>
      </w:r>
      <w:r>
        <w:rPr>
          <w:rFonts w:hint="eastAsia" w:ascii="仿宋_GB2312" w:hAnsi="仿宋_GB2312" w:eastAsia="仿宋_GB2312" w:cs="仿宋_GB2312"/>
          <w:sz w:val="32"/>
          <w:szCs w:val="32"/>
        </w:rPr>
        <w:t>聘书</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highlight w:val="yellow"/>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宣讲员</w:t>
      </w:r>
      <w:r>
        <w:rPr>
          <w:rFonts w:hint="eastAsia" w:ascii="仿宋_GB2312" w:hAnsi="仿宋_GB2312" w:eastAsia="仿宋_GB2312" w:cs="仿宋_GB2312"/>
          <w:sz w:val="32"/>
          <w:szCs w:val="32"/>
        </w:rPr>
        <w:t>积极准备</w:t>
      </w:r>
      <w:r>
        <w:rPr>
          <w:rFonts w:hint="eastAsia" w:ascii="仿宋_GB2312" w:hAnsi="仿宋_GB2312" w:eastAsia="仿宋_GB2312" w:cs="仿宋_GB2312"/>
          <w:sz w:val="32"/>
          <w:szCs w:val="32"/>
          <w:lang w:val="en-US" w:eastAsia="zh-CN"/>
        </w:rPr>
        <w:t>宣讲</w:t>
      </w:r>
      <w:r>
        <w:rPr>
          <w:rFonts w:hint="eastAsia" w:ascii="仿宋_GB2312" w:hAnsi="仿宋_GB2312" w:eastAsia="仿宋_GB2312" w:cs="仿宋_GB2312"/>
          <w:sz w:val="32"/>
          <w:szCs w:val="32"/>
        </w:rPr>
        <w:t>内容，</w:t>
      </w:r>
      <w:r>
        <w:rPr>
          <w:rFonts w:hint="eastAsia" w:ascii="仿宋_GB2312" w:hAnsi="仿宋_GB2312" w:eastAsia="仿宋_GB2312" w:cs="仿宋_GB2312"/>
          <w:sz w:val="32"/>
          <w:szCs w:val="32"/>
          <w:highlight w:val="none"/>
          <w:lang w:val="en-US" w:eastAsia="zh-CN"/>
        </w:rPr>
        <w:t>提前准备好PPT等文件，所</w:t>
      </w:r>
      <w:r>
        <w:rPr>
          <w:rFonts w:hint="eastAsia" w:ascii="仿宋_GB2312" w:hAnsi="仿宋_GB2312" w:eastAsia="仿宋_GB2312" w:cs="仿宋_GB2312"/>
          <w:sz w:val="32"/>
          <w:szCs w:val="32"/>
        </w:rPr>
        <w:t>讲授的内容，</w:t>
      </w:r>
      <w:r>
        <w:rPr>
          <w:rFonts w:hint="eastAsia" w:ascii="仿宋_GB2312" w:hAnsi="仿宋_GB2312" w:eastAsia="仿宋_GB2312" w:cs="仿宋_GB2312"/>
          <w:sz w:val="32"/>
          <w:szCs w:val="32"/>
          <w:lang w:val="en-US" w:eastAsia="zh-CN"/>
        </w:rPr>
        <w:t>要</w:t>
      </w:r>
      <w:r>
        <w:rPr>
          <w:rFonts w:hint="eastAsia" w:ascii="仿宋_GB2312" w:hAnsi="仿宋_GB2312" w:eastAsia="仿宋_GB2312" w:cs="仿宋_GB2312"/>
          <w:sz w:val="32"/>
          <w:szCs w:val="32"/>
        </w:rPr>
        <w:t>符合社会主义核心价值观，具有正确的思想意识形态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由各二级学院学管就业副院长</w:t>
      </w:r>
      <w:r>
        <w:rPr>
          <w:rFonts w:hint="eastAsia" w:ascii="仿宋_GB2312" w:hAnsi="仿宋_GB2312" w:eastAsia="仿宋_GB2312" w:cs="仿宋_GB2312"/>
          <w:sz w:val="32"/>
          <w:szCs w:val="32"/>
          <w:highlight w:val="none"/>
        </w:rPr>
        <w:t>审核</w:t>
      </w:r>
      <w:r>
        <w:rPr>
          <w:rFonts w:hint="eastAsia" w:ascii="仿宋_GB2312" w:hAnsi="仿宋_GB2312" w:eastAsia="仿宋_GB2312" w:cs="仿宋_GB2312"/>
          <w:sz w:val="32"/>
          <w:szCs w:val="32"/>
          <w:highlight w:val="none"/>
          <w:lang w:val="en-US" w:eastAsia="zh-CN"/>
        </w:rPr>
        <w:t>签字后</w:t>
      </w:r>
      <w:r>
        <w:rPr>
          <w:rFonts w:hint="eastAsia" w:ascii="仿宋_GB2312" w:hAnsi="仿宋_GB2312" w:eastAsia="仿宋_GB2312" w:cs="仿宋_GB2312"/>
          <w:sz w:val="32"/>
          <w:szCs w:val="32"/>
          <w:highlight w:val="none"/>
        </w:rPr>
        <w:t>上报学生处审核定稿。</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3.若二级学院暂时无合适的宣讲员人选，将由学生社团管理部相关部门推荐宣讲员进行宣讲。</w:t>
      </w:r>
    </w:p>
    <w:p>
      <w:pPr>
        <w:pStyle w:val="12"/>
        <w:keepNext w:val="0"/>
        <w:keepLines w:val="0"/>
        <w:pageBreakBefore w:val="0"/>
        <w:widowControl w:val="0"/>
        <w:kinsoku/>
        <w:wordWrap/>
        <w:overflowPunct/>
        <w:topLinePunct w:val="0"/>
        <w:autoSpaceDE/>
        <w:autoSpaceDN/>
        <w:bidi w:val="0"/>
        <w:adjustRightInd/>
        <w:spacing w:line="560" w:lineRule="exact"/>
        <w:textAlignment w:val="auto"/>
        <w:rPr>
          <w:rFonts w:hint="eastAsia" w:ascii="楷体" w:hAnsi="楷体" w:eastAsia="楷体" w:cs="楷体"/>
          <w:sz w:val="32"/>
          <w:szCs w:val="32"/>
        </w:rPr>
      </w:pPr>
      <w:r>
        <w:rPr>
          <w:rFonts w:hint="eastAsia" w:ascii="楷体" w:hAnsi="楷体" w:eastAsia="楷体" w:cs="楷体"/>
          <w:sz w:val="32"/>
          <w:szCs w:val="32"/>
          <w:lang w:val="en-US" w:eastAsia="zh-CN"/>
        </w:rPr>
        <w:t>（三）</w:t>
      </w:r>
      <w:r>
        <w:rPr>
          <w:rFonts w:hint="eastAsia" w:ascii="楷体" w:hAnsi="楷体" w:eastAsia="楷体" w:cs="楷体"/>
          <w:sz w:val="32"/>
          <w:szCs w:val="32"/>
        </w:rPr>
        <w:t>大讲堂开课及要求</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1.开课要求</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2023年</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日，由学生处组织举行</w:t>
      </w:r>
      <w:r>
        <w:rPr>
          <w:rFonts w:hint="eastAsia" w:ascii="仿宋_GB2312" w:hAnsi="仿宋_GB2312" w:eastAsia="仿宋_GB2312" w:cs="仿宋_GB2312"/>
          <w:sz w:val="32"/>
          <w:szCs w:val="32"/>
          <w:lang w:val="en-US" w:eastAsia="zh-CN"/>
        </w:rPr>
        <w:t>德慧</w:t>
      </w:r>
      <w:r>
        <w:rPr>
          <w:rFonts w:hint="eastAsia" w:ascii="仿宋_GB2312" w:hAnsi="仿宋_GB2312" w:eastAsia="仿宋_GB2312" w:cs="仿宋_GB2312"/>
          <w:sz w:val="32"/>
          <w:szCs w:val="32"/>
        </w:rPr>
        <w:t>大讲堂开</w:t>
      </w:r>
      <w:r>
        <w:rPr>
          <w:rFonts w:hint="eastAsia" w:ascii="仿宋_GB2312" w:hAnsi="仿宋_GB2312" w:eastAsia="仿宋_GB2312" w:cs="仿宋_GB2312"/>
          <w:sz w:val="32"/>
          <w:szCs w:val="32"/>
          <w:lang w:val="en-US" w:eastAsia="zh-CN"/>
        </w:rPr>
        <w:t>班</w:t>
      </w:r>
      <w:r>
        <w:rPr>
          <w:rFonts w:hint="eastAsia" w:ascii="仿宋_GB2312" w:hAnsi="仿宋_GB2312" w:eastAsia="仿宋_GB2312" w:cs="仿宋_GB2312"/>
          <w:sz w:val="32"/>
          <w:szCs w:val="32"/>
        </w:rPr>
        <w:t>仪式并开展第一次</w:t>
      </w:r>
      <w:r>
        <w:rPr>
          <w:rFonts w:hint="eastAsia" w:ascii="仿宋_GB2312" w:hAnsi="仿宋_GB2312" w:eastAsia="仿宋_GB2312" w:cs="仿宋_GB2312"/>
          <w:sz w:val="32"/>
          <w:szCs w:val="32"/>
          <w:lang w:val="en-US" w:eastAsia="zh-CN"/>
        </w:rPr>
        <w:t>德慧</w:t>
      </w:r>
      <w:r>
        <w:rPr>
          <w:rFonts w:hint="eastAsia" w:ascii="仿宋_GB2312" w:hAnsi="仿宋_GB2312" w:eastAsia="仿宋_GB2312" w:cs="仿宋_GB2312"/>
          <w:sz w:val="32"/>
          <w:szCs w:val="32"/>
        </w:rPr>
        <w:t>大讲堂课程</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）二级学院</w:t>
      </w:r>
      <w:r>
        <w:rPr>
          <w:rFonts w:hint="eastAsia" w:ascii="仿宋_GB2312" w:hAnsi="仿宋_GB2312" w:eastAsia="仿宋_GB2312" w:cs="仿宋_GB2312"/>
          <w:sz w:val="32"/>
          <w:szCs w:val="32"/>
        </w:rPr>
        <w:t>积极引导自习课班级学生参加</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宣讲员</w:t>
      </w:r>
      <w:r>
        <w:rPr>
          <w:rFonts w:hint="eastAsia" w:ascii="仿宋_GB2312" w:hAnsi="仿宋_GB2312" w:eastAsia="仿宋_GB2312" w:cs="仿宋_GB2312"/>
          <w:sz w:val="32"/>
          <w:szCs w:val="32"/>
        </w:rPr>
        <w:t>要</w:t>
      </w:r>
      <w:r>
        <w:rPr>
          <w:rFonts w:hint="eastAsia" w:ascii="仿宋_GB2312" w:hAnsi="仿宋_GB2312" w:eastAsia="仿宋_GB2312" w:cs="仿宋_GB2312"/>
          <w:sz w:val="32"/>
          <w:szCs w:val="32"/>
          <w:lang w:val="en-US" w:eastAsia="zh-CN"/>
        </w:rPr>
        <w:t>在宣讲过程中</w:t>
      </w:r>
      <w:r>
        <w:rPr>
          <w:rFonts w:hint="eastAsia" w:ascii="仿宋_GB2312" w:hAnsi="仿宋_GB2312" w:eastAsia="仿宋_GB2312" w:cs="仿宋_GB2312"/>
          <w:sz w:val="32"/>
          <w:szCs w:val="32"/>
        </w:rPr>
        <w:t>保持</w:t>
      </w:r>
      <w:r>
        <w:rPr>
          <w:rFonts w:hint="eastAsia" w:ascii="仿宋_GB2312" w:hAnsi="仿宋_GB2312" w:eastAsia="仿宋_GB2312" w:cs="仿宋_GB2312"/>
          <w:sz w:val="32"/>
          <w:szCs w:val="32"/>
          <w:lang w:val="en-US" w:eastAsia="zh-CN"/>
        </w:rPr>
        <w:t>与听众</w:t>
      </w:r>
      <w:r>
        <w:rPr>
          <w:rFonts w:hint="eastAsia" w:ascii="仿宋_GB2312" w:hAnsi="仿宋_GB2312" w:eastAsia="仿宋_GB2312" w:cs="仿宋_GB2312"/>
          <w:sz w:val="32"/>
          <w:szCs w:val="32"/>
        </w:rPr>
        <w:t>的互动，有效调动学生</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积极性</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2.拓展新意</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（1）形式多样：德慧大讲堂可搭配相关PPT和音乐等进行诵读。</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（2）经典演绎：引导学生积极参与经典演绎，增加学生对</w:t>
      </w:r>
      <w:r>
        <w:rPr>
          <w:rFonts w:hint="eastAsia" w:ascii="仿宋_GB2312" w:hAnsi="仿宋_GB2312" w:eastAsia="仿宋_GB2312" w:cs="仿宋_GB2312"/>
          <w:sz w:val="32"/>
          <w:szCs w:val="32"/>
          <w:highlight w:val="none"/>
          <w:lang w:val="en-US" w:eastAsia="zh-CN"/>
        </w:rPr>
        <w:t>中华优秀传统文</w:t>
      </w:r>
      <w:r>
        <w:rPr>
          <w:rFonts w:hint="eastAsia" w:ascii="仿宋_GB2312" w:hAnsi="仿宋_GB2312" w:eastAsia="仿宋_GB2312" w:cs="仿宋_GB2312"/>
          <w:sz w:val="32"/>
          <w:szCs w:val="32"/>
          <w:lang w:val="en-US" w:eastAsia="zh-CN"/>
        </w:rPr>
        <w:t>化的吸引力。</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（3）主题活动：结合相关主题开展系列活动，让学生在保持感兴趣的同时积极参与，充实学生的第二课堂活动。</w:t>
      </w:r>
    </w:p>
    <w:p>
      <w:pPr>
        <w:pStyle w:val="12"/>
        <w:keepNext w:val="0"/>
        <w:keepLines w:val="0"/>
        <w:pageBreakBefore w:val="0"/>
        <w:widowControl w:val="0"/>
        <w:kinsoku/>
        <w:wordWrap/>
        <w:overflowPunct/>
        <w:topLinePunct w:val="0"/>
        <w:autoSpaceDE/>
        <w:autoSpaceDN/>
        <w:bidi w:val="0"/>
        <w:adjustRightInd/>
        <w:spacing w:line="560" w:lineRule="exact"/>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（四）课程安排</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根据实际情况进行宣讲课程内容安排，具体如下：</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2"/>
        <w:gridCol w:w="2422"/>
        <w:gridCol w:w="4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2" w:type="dxa"/>
            <w:noWrap w:val="0"/>
            <w:vAlign w:val="top"/>
          </w:tcPr>
          <w:p>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val="0"/>
                <w:bCs w:val="0"/>
                <w:sz w:val="28"/>
                <w:szCs w:val="28"/>
              </w:rPr>
              <w:t>日期</w:t>
            </w:r>
          </w:p>
        </w:tc>
        <w:tc>
          <w:tcPr>
            <w:tcW w:w="2422" w:type="dxa"/>
            <w:noWrap w:val="0"/>
            <w:vAlign w:val="top"/>
          </w:tcPr>
          <w:p>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val="0"/>
                <w:bCs w:val="0"/>
                <w:sz w:val="28"/>
                <w:szCs w:val="28"/>
              </w:rPr>
              <w:t>时间</w:t>
            </w:r>
          </w:p>
        </w:tc>
        <w:tc>
          <w:tcPr>
            <w:tcW w:w="4628" w:type="dxa"/>
            <w:noWrap w:val="0"/>
            <w:vAlign w:val="top"/>
          </w:tcPr>
          <w:p>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b/>
                <w:bCs/>
                <w:sz w:val="28"/>
                <w:szCs w:val="28"/>
                <w:lang w:val="en-US"/>
              </w:rPr>
            </w:pPr>
            <w:r>
              <w:rPr>
                <w:rFonts w:hint="eastAsia" w:ascii="仿宋_GB2312" w:hAnsi="仿宋_GB2312" w:eastAsia="仿宋_GB2312" w:cs="仿宋_GB2312"/>
                <w:b w:val="0"/>
                <w:bCs w:val="0"/>
                <w:sz w:val="28"/>
                <w:szCs w:val="28"/>
                <w:lang w:val="en-US" w:eastAsia="zh-CN"/>
              </w:rPr>
              <w:t>分享典籍主要内容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2" w:type="dxa"/>
            <w:noWrap w:val="0"/>
            <w:vAlign w:val="top"/>
          </w:tcPr>
          <w:p>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周一</w:t>
            </w:r>
          </w:p>
        </w:tc>
        <w:tc>
          <w:tcPr>
            <w:tcW w:w="2422" w:type="dxa"/>
            <w:noWrap w:val="0"/>
            <w:vAlign w:val="top"/>
          </w:tcPr>
          <w:p>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16：30-17:20</w:t>
            </w:r>
          </w:p>
        </w:tc>
        <w:tc>
          <w:tcPr>
            <w:tcW w:w="4628" w:type="dxa"/>
            <w:noWrap w:val="0"/>
            <w:vAlign w:val="top"/>
          </w:tcPr>
          <w:p>
            <w:pPr>
              <w:keepNext w:val="0"/>
              <w:keepLines w:val="0"/>
              <w:pageBreakBefore w:val="0"/>
              <w:widowControl w:val="0"/>
              <w:numPr>
                <w:ilvl w:val="0"/>
                <w:numId w:val="0"/>
              </w:numPr>
              <w:kinsoku/>
              <w:wordWrap/>
              <w:overflowPunct/>
              <w:topLinePunct w:val="0"/>
              <w:autoSpaceDE/>
              <w:autoSpaceDN/>
              <w:bidi w:val="0"/>
              <w:adjustRightInd/>
              <w:spacing w:line="560" w:lineRule="exact"/>
              <w:ind w:leftChars="0"/>
              <w:jc w:val="center"/>
              <w:textAlignment w:val="auto"/>
              <w:rPr>
                <w:rFonts w:hint="eastAsia" w:ascii="仿宋_GB2312" w:hAnsi="仿宋_GB2312" w:eastAsia="仿宋_GB2312" w:cs="仿宋_GB2312"/>
                <w:sz w:val="28"/>
                <w:szCs w:val="28"/>
                <w:highlight w:val="yellow"/>
                <w:lang w:val="en-US" w:eastAsia="zh-CN"/>
              </w:rPr>
            </w:pPr>
            <w:r>
              <w:rPr>
                <w:rFonts w:hint="eastAsia" w:ascii="仿宋_GB2312" w:hAnsi="仿宋_GB2312" w:eastAsia="仿宋_GB2312" w:cs="仿宋_GB2312"/>
                <w:sz w:val="28"/>
                <w:szCs w:val="28"/>
                <w:highlight w:val="none"/>
                <w:shd w:val="clear" w:color="auto" w:fill="FFFFFF"/>
              </w:rPr>
              <w:t>国学</w:t>
            </w:r>
            <w:r>
              <w:rPr>
                <w:rFonts w:hint="eastAsia" w:ascii="仿宋_GB2312" w:hAnsi="仿宋_GB2312" w:eastAsia="仿宋_GB2312" w:cs="仿宋_GB2312"/>
                <w:sz w:val="28"/>
                <w:szCs w:val="28"/>
                <w:highlight w:val="none"/>
                <w:shd w:val="clear" w:color="auto" w:fill="FFFFFF"/>
                <w:lang w:val="en-US" w:eastAsia="zh-CN"/>
              </w:rPr>
              <w:t>经典内容讲解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2" w:type="dxa"/>
            <w:noWrap w:val="0"/>
            <w:vAlign w:val="top"/>
          </w:tcPr>
          <w:p>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周二</w:t>
            </w:r>
          </w:p>
        </w:tc>
        <w:tc>
          <w:tcPr>
            <w:tcW w:w="2422" w:type="dxa"/>
            <w:noWrap w:val="0"/>
            <w:vAlign w:val="top"/>
          </w:tcPr>
          <w:p>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16：30-17:20</w:t>
            </w:r>
          </w:p>
        </w:tc>
        <w:tc>
          <w:tcPr>
            <w:tcW w:w="4628" w:type="dxa"/>
            <w:noWrap w:val="0"/>
            <w:vAlign w:val="top"/>
          </w:tcPr>
          <w:p>
            <w:pPr>
              <w:keepNext w:val="0"/>
              <w:keepLines w:val="0"/>
              <w:pageBreakBefore w:val="0"/>
              <w:widowControl w:val="0"/>
              <w:numPr>
                <w:ilvl w:val="0"/>
                <w:numId w:val="0"/>
              </w:numPr>
              <w:kinsoku/>
              <w:wordWrap/>
              <w:overflowPunct/>
              <w:topLinePunct w:val="0"/>
              <w:autoSpaceDE/>
              <w:autoSpaceDN/>
              <w:bidi w:val="0"/>
              <w:adjustRightInd/>
              <w:spacing w:line="560" w:lineRule="exact"/>
              <w:ind w:leftChars="0"/>
              <w:jc w:val="center"/>
              <w:textAlignment w:val="auto"/>
              <w:rPr>
                <w:rFonts w:hint="eastAsia" w:ascii="仿宋_GB2312" w:hAnsi="仿宋_GB2312" w:eastAsia="仿宋_GB2312" w:cs="仿宋_GB2312"/>
                <w:sz w:val="28"/>
                <w:szCs w:val="28"/>
                <w:highlight w:val="yellow"/>
                <w:lang w:val="en-US" w:eastAsia="zh-CN"/>
              </w:rPr>
            </w:pPr>
            <w:r>
              <w:rPr>
                <w:rFonts w:hint="eastAsia" w:ascii="仿宋_GB2312" w:hAnsi="仿宋_GB2312" w:eastAsia="仿宋_GB2312" w:cs="仿宋_GB2312"/>
                <w:sz w:val="28"/>
                <w:szCs w:val="28"/>
                <w:highlight w:val="none"/>
              </w:rPr>
              <w:t>汉服</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配饰、礼仪介绍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2" w:type="dxa"/>
            <w:noWrap w:val="0"/>
            <w:vAlign w:val="top"/>
          </w:tcPr>
          <w:p>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周三</w:t>
            </w:r>
          </w:p>
        </w:tc>
        <w:tc>
          <w:tcPr>
            <w:tcW w:w="2422" w:type="dxa"/>
            <w:noWrap w:val="0"/>
            <w:vAlign w:val="top"/>
          </w:tcPr>
          <w:p>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16：30-17:20</w:t>
            </w:r>
          </w:p>
        </w:tc>
        <w:tc>
          <w:tcPr>
            <w:tcW w:w="4628" w:type="dxa"/>
            <w:noWrap w:val="0"/>
            <w:vAlign w:val="top"/>
          </w:tcPr>
          <w:p>
            <w:pPr>
              <w:keepNext w:val="0"/>
              <w:keepLines w:val="0"/>
              <w:pageBreakBefore w:val="0"/>
              <w:widowControl w:val="0"/>
              <w:numPr>
                <w:ilvl w:val="0"/>
                <w:numId w:val="0"/>
              </w:numPr>
              <w:kinsoku/>
              <w:wordWrap/>
              <w:overflowPunct/>
              <w:topLinePunct w:val="0"/>
              <w:autoSpaceDE/>
              <w:autoSpaceDN/>
              <w:bidi w:val="0"/>
              <w:adjustRightInd/>
              <w:spacing w:line="560" w:lineRule="exact"/>
              <w:ind w:leftChars="0"/>
              <w:jc w:val="center"/>
              <w:textAlignment w:val="auto"/>
              <w:rPr>
                <w:rFonts w:hint="eastAsia" w:ascii="仿宋_GB2312" w:hAnsi="仿宋_GB2312" w:eastAsia="仿宋_GB2312" w:cs="仿宋_GB2312"/>
                <w:sz w:val="28"/>
                <w:szCs w:val="28"/>
                <w:highlight w:val="yellow"/>
                <w:lang w:val="en-US" w:eastAsia="zh-CN"/>
              </w:rPr>
            </w:pPr>
            <w:r>
              <w:rPr>
                <w:rFonts w:hint="eastAsia" w:ascii="仿宋_GB2312" w:hAnsi="仿宋_GB2312" w:eastAsia="仿宋_GB2312" w:cs="仿宋_GB2312"/>
                <w:sz w:val="28"/>
                <w:szCs w:val="28"/>
                <w:highlight w:val="none"/>
                <w:lang w:val="en-US" w:eastAsia="zh-CN"/>
              </w:rPr>
              <w:t>棋类</w:t>
            </w:r>
            <w:r>
              <w:rPr>
                <w:rFonts w:hint="eastAsia" w:ascii="仿宋_GB2312" w:hAnsi="仿宋_GB2312" w:eastAsia="仿宋_GB2312" w:cs="仿宋_GB2312"/>
                <w:sz w:val="28"/>
                <w:szCs w:val="28"/>
                <w:highlight w:val="none"/>
              </w:rPr>
              <w:t>棋艺</w:t>
            </w:r>
            <w:r>
              <w:rPr>
                <w:rFonts w:hint="eastAsia" w:ascii="仿宋_GB2312" w:hAnsi="仿宋_GB2312" w:eastAsia="仿宋_GB2312" w:cs="仿宋_GB2312"/>
                <w:sz w:val="28"/>
                <w:szCs w:val="28"/>
                <w:highlight w:val="none"/>
                <w:lang w:val="en-US" w:eastAsia="zh-CN"/>
              </w:rPr>
              <w:t>介绍</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传统乐器及乐理讲解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2" w:type="dxa"/>
            <w:noWrap w:val="0"/>
            <w:vAlign w:val="top"/>
          </w:tcPr>
          <w:p>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周四</w:t>
            </w:r>
          </w:p>
        </w:tc>
        <w:tc>
          <w:tcPr>
            <w:tcW w:w="2422" w:type="dxa"/>
            <w:noWrap w:val="0"/>
            <w:vAlign w:val="top"/>
          </w:tcPr>
          <w:p>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16：30-17:20</w:t>
            </w:r>
          </w:p>
        </w:tc>
        <w:tc>
          <w:tcPr>
            <w:tcW w:w="4628" w:type="dxa"/>
            <w:noWrap w:val="0"/>
            <w:vAlign w:val="top"/>
          </w:tcPr>
          <w:p>
            <w:pPr>
              <w:keepNext w:val="0"/>
              <w:keepLines w:val="0"/>
              <w:pageBreakBefore w:val="0"/>
              <w:widowControl w:val="0"/>
              <w:numPr>
                <w:ilvl w:val="0"/>
                <w:numId w:val="0"/>
              </w:numPr>
              <w:kinsoku/>
              <w:wordWrap/>
              <w:overflowPunct/>
              <w:topLinePunct w:val="0"/>
              <w:autoSpaceDE/>
              <w:autoSpaceDN/>
              <w:bidi w:val="0"/>
              <w:adjustRightInd/>
              <w:spacing w:line="560" w:lineRule="exact"/>
              <w:ind w:leftChars="0"/>
              <w:jc w:val="center"/>
              <w:textAlignment w:val="auto"/>
              <w:rPr>
                <w:rFonts w:hint="eastAsia" w:ascii="仿宋_GB2312" w:hAnsi="仿宋_GB2312" w:eastAsia="仿宋_GB2312" w:cs="仿宋_GB2312"/>
                <w:sz w:val="28"/>
                <w:szCs w:val="28"/>
                <w:highlight w:val="yellow"/>
                <w:lang w:val="en-US" w:eastAsia="zh-CN"/>
              </w:rPr>
            </w:pPr>
            <w:r>
              <w:rPr>
                <w:rFonts w:hint="eastAsia" w:ascii="仿宋_GB2312" w:hAnsi="仿宋_GB2312" w:eastAsia="仿宋_GB2312" w:cs="仿宋_GB2312"/>
                <w:sz w:val="28"/>
                <w:szCs w:val="28"/>
                <w:highlight w:val="none"/>
                <w:lang w:val="en-US" w:eastAsia="zh-CN"/>
              </w:rPr>
              <w:t>传统手工、</w:t>
            </w:r>
            <w:r>
              <w:rPr>
                <w:rFonts w:hint="eastAsia" w:ascii="仿宋_GB2312" w:hAnsi="仿宋_GB2312" w:eastAsia="仿宋_GB2312" w:cs="仿宋_GB2312"/>
                <w:sz w:val="28"/>
                <w:szCs w:val="28"/>
                <w:highlight w:val="none"/>
              </w:rPr>
              <w:t>书</w:t>
            </w:r>
            <w:r>
              <w:rPr>
                <w:rFonts w:hint="eastAsia" w:ascii="仿宋_GB2312" w:hAnsi="仿宋_GB2312" w:eastAsia="仿宋_GB2312" w:cs="仿宋_GB2312"/>
                <w:sz w:val="28"/>
                <w:szCs w:val="28"/>
                <w:highlight w:val="none"/>
                <w:lang w:val="en-US" w:eastAsia="zh-CN"/>
              </w:rPr>
              <w:t>法绘</w:t>
            </w:r>
            <w:r>
              <w:rPr>
                <w:rFonts w:hint="eastAsia" w:ascii="仿宋_GB2312" w:hAnsi="仿宋_GB2312" w:eastAsia="仿宋_GB2312" w:cs="仿宋_GB2312"/>
                <w:sz w:val="28"/>
                <w:szCs w:val="28"/>
                <w:highlight w:val="none"/>
              </w:rPr>
              <w:t>画</w:t>
            </w:r>
            <w:r>
              <w:rPr>
                <w:rFonts w:hint="eastAsia" w:ascii="仿宋_GB2312" w:hAnsi="仿宋_GB2312" w:eastAsia="仿宋_GB2312" w:cs="仿宋_GB2312"/>
                <w:sz w:val="28"/>
                <w:szCs w:val="28"/>
                <w:highlight w:val="none"/>
                <w:lang w:val="en-US" w:eastAsia="zh-CN"/>
              </w:rPr>
              <w:t>讲解</w:t>
            </w:r>
          </w:p>
        </w:tc>
      </w:tr>
    </w:tbl>
    <w:p>
      <w:pPr>
        <w:pStyle w:val="12"/>
        <w:keepNext w:val="0"/>
        <w:keepLines w:val="0"/>
        <w:pageBreakBefore w:val="0"/>
        <w:widowControl w:val="0"/>
        <w:kinsoku/>
        <w:wordWrap/>
        <w:overflowPunct/>
        <w:topLinePunct w:val="0"/>
        <w:autoSpaceDE/>
        <w:autoSpaceDN/>
        <w:bidi w:val="0"/>
        <w:adjustRightInd/>
        <w:spacing w:line="560" w:lineRule="exact"/>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五）评分标准</w:t>
      </w:r>
    </w:p>
    <w:p>
      <w:pPr>
        <w:keepNext w:val="0"/>
        <w:keepLines w:val="0"/>
        <w:pageBreakBefore w:val="0"/>
        <w:widowControl w:val="0"/>
        <w:kinsoku/>
        <w:wordWrap/>
        <w:overflowPunct/>
        <w:topLinePunct w:val="0"/>
        <w:autoSpaceDE/>
        <w:autoSpaceDN/>
        <w:bidi w:val="0"/>
        <w:adjustRightInd/>
        <w:spacing w:line="560" w:lineRule="exact"/>
        <w:ind w:firstLine="640"/>
        <w:textAlignment w:val="auto"/>
        <w:rPr>
          <w:rFonts w:hint="eastAsia" w:ascii="仿宋_GB2312" w:hAnsi="仿宋_GB2312" w:eastAsia="仿宋_GB2312" w:cs="仿宋_GB2312"/>
          <w:sz w:val="32"/>
          <w:szCs w:val="32"/>
          <w:highlight w:val="none"/>
          <w:vertAlign w:val="baseline"/>
          <w:lang w:eastAsia="zh-CN"/>
        </w:rPr>
      </w:pPr>
      <w:r>
        <w:rPr>
          <w:rFonts w:hint="eastAsia" w:ascii="仿宋_GB2312" w:hAnsi="仿宋_GB2312" w:eastAsia="仿宋_GB2312" w:cs="仿宋_GB2312"/>
          <w:sz w:val="32"/>
          <w:szCs w:val="32"/>
          <w:highlight w:val="none"/>
          <w:lang w:val="en-US" w:eastAsia="zh-CN"/>
        </w:rPr>
        <w:t>二级学院听众</w:t>
      </w:r>
      <w:r>
        <w:rPr>
          <w:rFonts w:hint="eastAsia" w:ascii="仿宋_GB2312" w:hAnsi="仿宋_GB2312" w:eastAsia="仿宋_GB2312" w:cs="仿宋_GB2312"/>
          <w:sz w:val="32"/>
          <w:szCs w:val="32"/>
          <w:highlight w:val="none"/>
        </w:rPr>
        <w:t>依据</w:t>
      </w:r>
      <w:r>
        <w:rPr>
          <w:rFonts w:hint="eastAsia" w:ascii="仿宋_GB2312" w:hAnsi="仿宋_GB2312" w:eastAsia="仿宋_GB2312" w:cs="仿宋_GB2312"/>
          <w:sz w:val="32"/>
          <w:szCs w:val="32"/>
          <w:highlight w:val="none"/>
          <w:lang w:val="en-US" w:eastAsia="zh-CN"/>
        </w:rPr>
        <w:t>宣讲员课堂讲授情况</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利用问卷星</w:t>
      </w:r>
      <w:r>
        <w:rPr>
          <w:rFonts w:hint="eastAsia" w:ascii="仿宋_GB2312" w:hAnsi="仿宋_GB2312" w:eastAsia="仿宋_GB2312" w:cs="仿宋_GB2312"/>
          <w:sz w:val="32"/>
          <w:szCs w:val="32"/>
          <w:highlight w:val="none"/>
        </w:rPr>
        <w:t>进行评分,主要包括以下几个方面</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讲授</w:t>
      </w:r>
      <w:r>
        <w:rPr>
          <w:rFonts w:hint="eastAsia" w:ascii="仿宋_GB2312" w:hAnsi="仿宋_GB2312" w:eastAsia="仿宋_GB2312" w:cs="仿宋_GB2312"/>
          <w:sz w:val="32"/>
          <w:szCs w:val="32"/>
          <w:highlight w:val="none"/>
        </w:rPr>
        <w:t>内容</w:t>
      </w:r>
      <w:r>
        <w:rPr>
          <w:rFonts w:hint="eastAsia" w:ascii="仿宋_GB2312" w:hAnsi="仿宋_GB2312" w:eastAsia="仿宋_GB2312" w:cs="仿宋_GB2312"/>
          <w:sz w:val="32"/>
          <w:szCs w:val="32"/>
          <w:highlight w:val="none"/>
          <w:lang w:val="en-US" w:eastAsia="zh-CN"/>
        </w:rPr>
        <w:t>5分</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舞台</w:t>
      </w:r>
      <w:r>
        <w:rPr>
          <w:rFonts w:hint="eastAsia" w:ascii="仿宋_GB2312" w:hAnsi="仿宋_GB2312" w:eastAsia="仿宋_GB2312" w:cs="仿宋_GB2312"/>
          <w:sz w:val="32"/>
          <w:szCs w:val="32"/>
          <w:highlight w:val="none"/>
        </w:rPr>
        <w:t>表现力</w:t>
      </w:r>
      <w:r>
        <w:rPr>
          <w:rFonts w:hint="eastAsia" w:ascii="仿宋_GB2312" w:hAnsi="仿宋_GB2312" w:eastAsia="仿宋_GB2312" w:cs="仿宋_GB2312"/>
          <w:sz w:val="32"/>
          <w:szCs w:val="32"/>
          <w:highlight w:val="none"/>
          <w:lang w:val="en-US" w:eastAsia="zh-CN"/>
        </w:rPr>
        <w:t>2分</w:t>
      </w:r>
      <w:r>
        <w:rPr>
          <w:rFonts w:hint="eastAsia" w:ascii="仿宋_GB2312" w:hAnsi="仿宋_GB2312" w:eastAsia="仿宋_GB2312" w:cs="仿宋_GB2312"/>
          <w:sz w:val="32"/>
          <w:szCs w:val="32"/>
          <w:highlight w:val="none"/>
        </w:rPr>
        <w:t>和</w:t>
      </w:r>
      <w:r>
        <w:rPr>
          <w:rFonts w:hint="eastAsia" w:ascii="仿宋_GB2312" w:hAnsi="仿宋_GB2312" w:eastAsia="仿宋_GB2312" w:cs="仿宋_GB2312"/>
          <w:sz w:val="32"/>
          <w:szCs w:val="32"/>
          <w:highlight w:val="none"/>
          <w:lang w:val="en-US" w:eastAsia="zh-CN"/>
        </w:rPr>
        <w:t>观众反馈力3分</w:t>
      </w:r>
      <w:r>
        <w:rPr>
          <w:rFonts w:hint="eastAsia" w:ascii="仿宋_GB2312" w:hAnsi="仿宋_GB2312" w:eastAsia="仿宋_GB2312" w:cs="仿宋_GB2312"/>
          <w:sz w:val="32"/>
          <w:szCs w:val="32"/>
          <w:highlight w:val="none"/>
        </w:rPr>
        <w:t>，奖项设置如下，一等奖</w:t>
      </w:r>
      <w:r>
        <w:rPr>
          <w:rFonts w:hint="eastAsia" w:ascii="仿宋_GB2312" w:hAnsi="仿宋_GB2312" w:eastAsia="仿宋_GB2312" w:cs="仿宋_GB2312"/>
          <w:sz w:val="32"/>
          <w:szCs w:val="32"/>
          <w:highlight w:val="none"/>
          <w:lang w:val="en-US" w:eastAsia="zh-CN"/>
        </w:rPr>
        <w:t>10%</w:t>
      </w:r>
      <w:r>
        <w:rPr>
          <w:rFonts w:hint="eastAsia" w:ascii="仿宋_GB2312" w:hAnsi="仿宋_GB2312" w:eastAsia="仿宋_GB2312" w:cs="仿宋_GB2312"/>
          <w:sz w:val="32"/>
          <w:szCs w:val="32"/>
          <w:highlight w:val="none"/>
        </w:rPr>
        <w:t>名，二等奖</w:t>
      </w:r>
      <w:r>
        <w:rPr>
          <w:rFonts w:hint="eastAsia" w:ascii="仿宋_GB2312" w:hAnsi="仿宋_GB2312" w:eastAsia="仿宋_GB2312" w:cs="仿宋_GB2312"/>
          <w:sz w:val="32"/>
          <w:szCs w:val="32"/>
          <w:highlight w:val="none"/>
          <w:lang w:val="en-US" w:eastAsia="zh-CN"/>
        </w:rPr>
        <w:t>20%</w:t>
      </w:r>
      <w:r>
        <w:rPr>
          <w:rFonts w:hint="eastAsia" w:ascii="仿宋_GB2312" w:hAnsi="仿宋_GB2312" w:eastAsia="仿宋_GB2312" w:cs="仿宋_GB2312"/>
          <w:sz w:val="32"/>
          <w:szCs w:val="32"/>
          <w:highlight w:val="none"/>
        </w:rPr>
        <w:t>名，三等奖</w:t>
      </w:r>
      <w:r>
        <w:rPr>
          <w:rFonts w:hint="eastAsia" w:ascii="仿宋_GB2312" w:hAnsi="仿宋_GB2312" w:eastAsia="仿宋_GB2312" w:cs="仿宋_GB2312"/>
          <w:sz w:val="32"/>
          <w:szCs w:val="32"/>
          <w:highlight w:val="none"/>
          <w:lang w:val="en-US" w:eastAsia="zh-CN"/>
        </w:rPr>
        <w:t>30%</w:t>
      </w:r>
      <w:r>
        <w:rPr>
          <w:rFonts w:hint="eastAsia" w:ascii="仿宋_GB2312" w:hAnsi="仿宋_GB2312" w:eastAsia="仿宋_GB2312" w:cs="仿宋_GB2312"/>
          <w:sz w:val="32"/>
          <w:szCs w:val="32"/>
          <w:highlight w:val="none"/>
        </w:rPr>
        <w:t>名</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优秀奖40%名</w:t>
      </w:r>
      <w:r>
        <w:rPr>
          <w:rFonts w:hint="eastAsia" w:ascii="仿宋_GB2312" w:hAnsi="仿宋_GB2312" w:eastAsia="仿宋_GB2312" w:cs="仿宋_GB2312"/>
          <w:sz w:val="32"/>
          <w:szCs w:val="32"/>
          <w:highlight w:val="none"/>
          <w:lang w:eastAsia="zh-CN"/>
        </w:rPr>
        <w:t>。</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jc w:val="center"/>
        </w:trPr>
        <w:tc>
          <w:tcPr>
            <w:tcW w:w="1704" w:type="dxa"/>
            <w:noWrap w:val="0"/>
            <w:vAlign w:val="top"/>
            <mc:AlternateContent>
              <mc:Choice Requires="wpsCustomData">
                <wpsCustomData:diagonals>
                  <wpsCustomData:diagonal from="10000" to="30000">
                    <wpsCustomData:border w:val="single" w:color="auto" w:sz="4" w:space="0"/>
                  </wpsCustomData:diagonal>
                </wpsCustomData:diagonals>
              </mc:Choice>
            </mc:AlternateContent>
          </w:tcPr>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highlight w:val="none"/>
                <w:vertAlign w:val="baseline"/>
                <w:lang w:val="en-US" w:eastAsia="zh-CN"/>
              </w:rPr>
            </w:pPr>
          </w:p>
          <w:p>
            <w:pPr>
              <w:keepNext w:val="0"/>
              <w:keepLines w:val="0"/>
              <w:pageBreakBefore w:val="0"/>
              <w:widowControl w:val="0"/>
              <w:kinsoku/>
              <w:wordWrap/>
              <w:overflowPunct/>
              <w:topLinePunct w:val="0"/>
              <w:autoSpaceDE/>
              <w:autoSpaceDN/>
              <w:bidi w:val="0"/>
              <w:adjustRightInd/>
              <w:snapToGrid w:val="0"/>
              <w:spacing w:line="560" w:lineRule="exact"/>
              <w:textAlignment w:val="auto"/>
              <mc:AlternateContent>
                <mc:Choice Requires="wpsCustomData">
                  <wpsCustomData:diagonalParaType/>
                </mc:Choice>
              </mc:AlternateContent>
              <w:rPr>
                <w:rFonts w:hint="eastAsia" w:ascii="仿宋_GB2312" w:hAnsi="仿宋_GB2312" w:eastAsia="仿宋_GB2312" w:cs="仿宋_GB2312"/>
                <w:sz w:val="32"/>
                <w:szCs w:val="32"/>
                <w:highlight w:val="none"/>
                <w:vertAlign w:val="baseline"/>
                <w:lang w:val="en-US" w:eastAsia="zh-CN"/>
              </w:rPr>
            </w:pPr>
            <w:r>
              <w:rPr>
                <w:rFonts w:hint="eastAsia" w:ascii="仿宋_GB2312" w:hAnsi="仿宋_GB2312" w:eastAsia="仿宋_GB2312" w:cs="仿宋_GB2312"/>
                <w:sz w:val="32"/>
                <w:szCs w:val="32"/>
                <w:highlight w:val="none"/>
                <w:vertAlign w:val="baseline"/>
                <w:lang w:val="en-US" w:eastAsia="zh-CN"/>
              </w:rPr>
              <w:t>姓名</w:t>
            </w:r>
          </w:p>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highlight w:val="none"/>
                <w:vertAlign w:val="baseline"/>
                <w:lang w:val="en-US" w:eastAsia="zh-CN"/>
              </w:rPr>
            </w:pPr>
            <w:r>
              <w:rPr>
                <w:rFonts w:hint="eastAsia" w:ascii="仿宋_GB2312" w:hAnsi="仿宋_GB2312" w:eastAsia="仿宋_GB2312" w:cs="仿宋_GB2312"/>
                <w:sz w:val="32"/>
                <w:szCs w:val="32"/>
                <w:highlight w:val="none"/>
                <w:vertAlign w:val="baseline"/>
                <w:lang w:val="en-US" w:eastAsia="zh-CN"/>
              </w:rPr>
              <w:t>项目</w:t>
            </w:r>
          </w:p>
        </w:tc>
        <w:tc>
          <w:tcPr>
            <w:tcW w:w="1704" w:type="dxa"/>
            <w:noWrap w:val="0"/>
            <w:vAlign w:val="top"/>
          </w:tcPr>
          <w:p>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sz w:val="32"/>
                <w:szCs w:val="32"/>
                <w:highlight w:val="none"/>
                <w:vertAlign w:val="baseline"/>
                <w:lang w:val="en-US" w:eastAsia="zh-CN"/>
              </w:rPr>
            </w:pPr>
            <w:r>
              <w:rPr>
                <w:rFonts w:hint="eastAsia" w:ascii="仿宋_GB2312" w:hAnsi="仿宋_GB2312" w:eastAsia="仿宋_GB2312" w:cs="仿宋_GB2312"/>
                <w:sz w:val="32"/>
                <w:szCs w:val="32"/>
                <w:highlight w:val="none"/>
                <w:vertAlign w:val="baseline"/>
                <w:lang w:val="en-US" w:eastAsia="zh-CN"/>
              </w:rPr>
              <w:t>演讲内容（5分）</w:t>
            </w:r>
          </w:p>
        </w:tc>
        <w:tc>
          <w:tcPr>
            <w:tcW w:w="1704" w:type="dxa"/>
            <w:noWrap w:val="0"/>
            <w:vAlign w:val="top"/>
          </w:tcPr>
          <w:p>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sz w:val="32"/>
                <w:szCs w:val="32"/>
                <w:highlight w:val="none"/>
                <w:vertAlign w:val="baseline"/>
                <w:lang w:val="en-US" w:eastAsia="zh-CN"/>
              </w:rPr>
            </w:pPr>
            <w:r>
              <w:rPr>
                <w:rFonts w:hint="eastAsia" w:ascii="仿宋_GB2312" w:hAnsi="仿宋_GB2312" w:eastAsia="仿宋_GB2312" w:cs="仿宋_GB2312"/>
                <w:sz w:val="32"/>
                <w:szCs w:val="32"/>
                <w:highlight w:val="none"/>
                <w:vertAlign w:val="baseline"/>
                <w:lang w:val="en-US" w:eastAsia="zh-CN"/>
              </w:rPr>
              <w:t>舞台表现（2分）</w:t>
            </w:r>
          </w:p>
        </w:tc>
        <w:tc>
          <w:tcPr>
            <w:tcW w:w="1705" w:type="dxa"/>
            <w:noWrap w:val="0"/>
            <w:vAlign w:val="top"/>
          </w:tcPr>
          <w:p>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sz w:val="32"/>
                <w:szCs w:val="32"/>
                <w:highlight w:val="none"/>
                <w:vertAlign w:val="baseline"/>
                <w:lang w:val="en-US" w:eastAsia="zh-CN"/>
              </w:rPr>
            </w:pPr>
            <w:r>
              <w:rPr>
                <w:rFonts w:hint="eastAsia" w:ascii="仿宋_GB2312" w:hAnsi="仿宋_GB2312" w:eastAsia="仿宋_GB2312" w:cs="仿宋_GB2312"/>
                <w:sz w:val="32"/>
                <w:szCs w:val="32"/>
                <w:highlight w:val="none"/>
                <w:vertAlign w:val="baseline"/>
                <w:lang w:val="en-US" w:eastAsia="zh-CN"/>
              </w:rPr>
              <w:t>观众评价（3分）</w:t>
            </w:r>
          </w:p>
        </w:tc>
        <w:tc>
          <w:tcPr>
            <w:tcW w:w="1705" w:type="dxa"/>
            <w:noWrap w:val="0"/>
            <w:vAlign w:val="top"/>
          </w:tcPr>
          <w:p>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sz w:val="32"/>
                <w:szCs w:val="32"/>
                <w:highlight w:val="none"/>
                <w:vertAlign w:val="baseline"/>
                <w:lang w:val="en-US" w:eastAsia="zh-CN"/>
              </w:rPr>
            </w:pPr>
            <w:r>
              <w:rPr>
                <w:rFonts w:hint="eastAsia" w:ascii="仿宋_GB2312" w:hAnsi="仿宋_GB2312" w:eastAsia="仿宋_GB2312" w:cs="仿宋_GB2312"/>
                <w:sz w:val="32"/>
                <w:szCs w:val="32"/>
                <w:highlight w:val="none"/>
                <w:vertAlign w:val="baseline"/>
                <w:lang w:val="en-US" w:eastAsia="zh-CN"/>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noWrap w:val="0"/>
            <w:vAlign w:val="top"/>
          </w:tcPr>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highlight w:val="none"/>
                <w:vertAlign w:val="baseline"/>
                <w:lang w:eastAsia="zh-CN"/>
              </w:rPr>
            </w:pPr>
          </w:p>
        </w:tc>
        <w:tc>
          <w:tcPr>
            <w:tcW w:w="1704" w:type="dxa"/>
            <w:noWrap w:val="0"/>
            <w:vAlign w:val="top"/>
          </w:tcPr>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highlight w:val="none"/>
                <w:vertAlign w:val="baseline"/>
                <w:lang w:eastAsia="zh-CN"/>
              </w:rPr>
            </w:pPr>
          </w:p>
        </w:tc>
        <w:tc>
          <w:tcPr>
            <w:tcW w:w="1704" w:type="dxa"/>
            <w:noWrap w:val="0"/>
            <w:vAlign w:val="top"/>
          </w:tcPr>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highlight w:val="none"/>
                <w:vertAlign w:val="baseline"/>
                <w:lang w:eastAsia="zh-CN"/>
              </w:rPr>
            </w:pPr>
          </w:p>
        </w:tc>
        <w:tc>
          <w:tcPr>
            <w:tcW w:w="1705" w:type="dxa"/>
            <w:noWrap w:val="0"/>
            <w:vAlign w:val="top"/>
          </w:tcPr>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highlight w:val="none"/>
                <w:vertAlign w:val="baseline"/>
                <w:lang w:eastAsia="zh-CN"/>
              </w:rPr>
            </w:pPr>
          </w:p>
        </w:tc>
        <w:tc>
          <w:tcPr>
            <w:tcW w:w="1705" w:type="dxa"/>
            <w:noWrap w:val="0"/>
            <w:vAlign w:val="top"/>
          </w:tcPr>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noWrap w:val="0"/>
            <w:vAlign w:val="top"/>
          </w:tcPr>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highlight w:val="yellow"/>
                <w:vertAlign w:val="baseline"/>
                <w:lang w:eastAsia="zh-CN"/>
              </w:rPr>
            </w:pPr>
          </w:p>
        </w:tc>
        <w:tc>
          <w:tcPr>
            <w:tcW w:w="1704" w:type="dxa"/>
            <w:noWrap w:val="0"/>
            <w:vAlign w:val="top"/>
          </w:tcPr>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highlight w:val="yellow"/>
                <w:vertAlign w:val="baseline"/>
                <w:lang w:eastAsia="zh-CN"/>
              </w:rPr>
            </w:pPr>
          </w:p>
        </w:tc>
        <w:tc>
          <w:tcPr>
            <w:tcW w:w="1704" w:type="dxa"/>
            <w:noWrap w:val="0"/>
            <w:vAlign w:val="top"/>
          </w:tcPr>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highlight w:val="yellow"/>
                <w:vertAlign w:val="baseline"/>
                <w:lang w:eastAsia="zh-CN"/>
              </w:rPr>
            </w:pPr>
          </w:p>
        </w:tc>
        <w:tc>
          <w:tcPr>
            <w:tcW w:w="1705" w:type="dxa"/>
            <w:noWrap w:val="0"/>
            <w:vAlign w:val="top"/>
          </w:tcPr>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highlight w:val="yellow"/>
                <w:vertAlign w:val="baseline"/>
                <w:lang w:eastAsia="zh-CN"/>
              </w:rPr>
            </w:pPr>
          </w:p>
        </w:tc>
        <w:tc>
          <w:tcPr>
            <w:tcW w:w="1705" w:type="dxa"/>
            <w:noWrap w:val="0"/>
            <w:vAlign w:val="top"/>
          </w:tcPr>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highlight w:val="yellow"/>
                <w:vertAlign w:val="baseline"/>
                <w:lang w:eastAsia="zh-CN"/>
              </w:rPr>
            </w:pPr>
          </w:p>
        </w:tc>
      </w:tr>
    </w:tbl>
    <w:p>
      <w:pPr>
        <w:pStyle w:val="12"/>
        <w:keepNext w:val="0"/>
        <w:keepLines w:val="0"/>
        <w:pageBreakBefore w:val="0"/>
        <w:widowControl w:val="0"/>
        <w:numPr>
          <w:ilvl w:val="0"/>
          <w:numId w:val="2"/>
        </w:numPr>
        <w:kinsoku/>
        <w:wordWrap/>
        <w:overflowPunct/>
        <w:topLinePunct w:val="0"/>
        <w:autoSpaceDE/>
        <w:autoSpaceDN/>
        <w:bidi w:val="0"/>
        <w:adjustRightInd/>
        <w:spacing w:line="560" w:lineRule="exact"/>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二级学院及社团人员安排</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宣讲内容结束后，根据宣讲内容听众上交课后活动作品，具体上交时间及内容由宣讲员决定。每次活动后各学院选取优秀活动作品进行投稿宣传，由学生处评选出优秀学院宣讲团，一等奖1名、二等奖1名、三等奖1名，优秀奖3名。</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jc w:val="righ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共青团山东现代学院委员会</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jc w:val="right"/>
        <w:textAlignment w:val="auto"/>
        <w:rPr>
          <w:rFonts w:hint="default"/>
          <w:lang w:val="en-US" w:eastAsia="zh-CN"/>
        </w:rPr>
      </w:pPr>
      <w:r>
        <w:rPr>
          <w:rFonts w:hint="eastAsia" w:ascii="仿宋_GB2312" w:hAnsi="仿宋_GB2312" w:eastAsia="仿宋_GB2312" w:cs="仿宋_GB2312"/>
          <w:sz w:val="32"/>
          <w:szCs w:val="32"/>
          <w:lang w:val="en-US" w:eastAsia="zh-CN"/>
        </w:rPr>
        <w:t>2022年12月22日</w:t>
      </w:r>
      <w:bookmarkStart w:id="1" w:name="_GoBack"/>
      <w:bookmarkEnd w:id="1"/>
    </w:p>
    <w:p>
      <w:pPr>
        <w:pStyle w:val="10"/>
        <w:ind w:firstLine="0" w:firstLineChars="0"/>
        <w:rPr>
          <w:u w:val="single"/>
        </w:rPr>
      </w:pPr>
      <w:r>
        <w:rPr>
          <w:rFonts w:hint="eastAsia"/>
          <w:u w:val="single"/>
        </w:rPr>
        <w:t xml:space="preserve"> 主题词：</w:t>
      </w:r>
      <w:r>
        <w:rPr>
          <w:rFonts w:hint="eastAsia"/>
          <w:u w:val="single"/>
          <w:lang w:val="en-US" w:eastAsia="zh-CN"/>
        </w:rPr>
        <w:t>德慧</w:t>
      </w:r>
      <w:r>
        <w:rPr>
          <w:rFonts w:hint="eastAsia"/>
          <w:u w:val="single"/>
        </w:rPr>
        <w:t>大讲堂实施方案</w:t>
      </w:r>
      <w:r>
        <w:rPr>
          <w:rFonts w:hint="eastAsia"/>
          <w:u w:val="single"/>
          <w:lang w:val="en-US" w:eastAsia="zh-CN"/>
        </w:rPr>
        <w:t xml:space="preserve">               </w:t>
      </w:r>
      <w:r>
        <w:rPr>
          <w:rFonts w:hint="eastAsia"/>
          <w:highlight w:val="none"/>
          <w:u w:val="single"/>
          <w:lang w:val="en-US" w:eastAsia="zh-CN"/>
        </w:rPr>
        <w:t xml:space="preserve">                 </w:t>
      </w:r>
      <w:r>
        <w:rPr>
          <w:rFonts w:hint="eastAsia"/>
          <w:u w:val="single"/>
          <w:lang w:val="en-US" w:eastAsia="zh-CN"/>
        </w:rPr>
        <w:t xml:space="preserve">  </w:t>
      </w:r>
      <w:r>
        <w:rPr>
          <w:rFonts w:hint="eastAsia"/>
          <w:u w:val="single"/>
        </w:rPr>
        <w:t xml:space="preserve">             </w:t>
      </w:r>
    </w:p>
    <w:p>
      <w:pPr>
        <w:pStyle w:val="10"/>
        <w:ind w:firstLine="0" w:firstLineChars="0"/>
        <w:rPr>
          <w:rFonts w:hint="default" w:eastAsia="仿宋_GB2312"/>
          <w:u w:val="single"/>
          <w:lang w:val="en-US" w:eastAsia="zh-CN"/>
        </w:rPr>
      </w:pPr>
      <w:r>
        <w:rPr>
          <w:rFonts w:hint="eastAsia"/>
          <w:u w:val="single"/>
        </w:rPr>
        <w:t xml:space="preserve"> 抄  送</w:t>
      </w:r>
      <w:r>
        <w:rPr>
          <w:rFonts w:hint="eastAsia"/>
          <w:highlight w:val="none"/>
          <w:u w:val="single"/>
        </w:rPr>
        <w:t>：</w:t>
      </w:r>
      <w:r>
        <w:rPr>
          <w:rFonts w:hint="eastAsia"/>
          <w:u w:val="single"/>
        </w:rPr>
        <w:t>二级团总支</w:t>
      </w:r>
      <w:r>
        <w:rPr>
          <w:rFonts w:hint="eastAsia"/>
          <w:highlight w:val="none"/>
          <w:u w:val="single"/>
          <w:lang w:val="en-US" w:eastAsia="zh-CN"/>
        </w:rPr>
        <w:t xml:space="preserve">                                         </w:t>
      </w:r>
    </w:p>
    <w:p>
      <w:pPr>
        <w:pStyle w:val="10"/>
        <w:ind w:firstLine="0" w:firstLineChars="0"/>
        <w:jc w:val="left"/>
        <w:rPr>
          <w:rFonts w:hint="eastAsia" w:ascii="仿宋_GB2312" w:hAnsi="仿宋_GB2312" w:cs="仿宋_GB2312"/>
          <w:u w:val="single"/>
        </w:rPr>
      </w:pPr>
      <w:r>
        <w:rPr>
          <w:rFonts w:hint="eastAsia"/>
          <w:u w:val="single"/>
        </w:rPr>
        <w:t xml:space="preserve"> 共青团山东现代学院委员会           </w:t>
      </w:r>
      <w:r>
        <w:rPr>
          <w:rFonts w:hint="eastAsia" w:ascii="仿宋_GB2312" w:hAnsi="仿宋_GB2312" w:cs="仿宋_GB2312"/>
          <w:u w:val="single"/>
        </w:rPr>
        <w:t>202</w:t>
      </w:r>
      <w:r>
        <w:rPr>
          <w:rFonts w:hint="eastAsia" w:ascii="仿宋_GB2312" w:hAnsi="仿宋_GB2312" w:cs="仿宋_GB2312"/>
          <w:u w:val="single"/>
          <w:lang w:val="en-US" w:eastAsia="zh-CN"/>
        </w:rPr>
        <w:t>2</w:t>
      </w:r>
      <w:r>
        <w:rPr>
          <w:rFonts w:hint="eastAsia" w:ascii="仿宋_GB2312" w:hAnsi="仿宋_GB2312" w:cs="仿宋_GB2312"/>
          <w:u w:val="single"/>
        </w:rPr>
        <w:t>年</w:t>
      </w:r>
      <w:r>
        <w:rPr>
          <w:rFonts w:hint="eastAsia" w:ascii="仿宋_GB2312" w:hAnsi="仿宋_GB2312" w:cs="仿宋_GB2312"/>
          <w:u w:val="single"/>
          <w:lang w:val="en-US" w:eastAsia="zh-CN"/>
        </w:rPr>
        <w:t>12</w:t>
      </w:r>
      <w:r>
        <w:rPr>
          <w:rFonts w:hint="eastAsia" w:ascii="仿宋_GB2312" w:hAnsi="仿宋_GB2312" w:cs="仿宋_GB2312"/>
          <w:u w:val="single"/>
        </w:rPr>
        <w:t>月</w:t>
      </w:r>
      <w:r>
        <w:rPr>
          <w:rFonts w:hint="eastAsia" w:ascii="仿宋_GB2312" w:hAnsi="仿宋_GB2312" w:cs="仿宋_GB2312"/>
          <w:highlight w:val="none"/>
          <w:u w:val="single"/>
          <w:lang w:val="en-US" w:eastAsia="zh-CN"/>
        </w:rPr>
        <w:t>22</w:t>
      </w:r>
      <w:r>
        <w:rPr>
          <w:rFonts w:hint="eastAsia" w:ascii="仿宋_GB2312" w:hAnsi="仿宋_GB2312" w:cs="仿宋_GB2312"/>
          <w:highlight w:val="none"/>
          <w:u w:val="single"/>
        </w:rPr>
        <w:t>日</w:t>
      </w:r>
      <w:r>
        <w:rPr>
          <w:rFonts w:hint="eastAsia" w:ascii="仿宋_GB2312" w:hAnsi="仿宋_GB2312" w:cs="仿宋_GB2312"/>
          <w:u w:val="single"/>
        </w:rPr>
        <w:t xml:space="preserve">印发 </w:t>
      </w:r>
    </w:p>
    <w:p>
      <w:pPr>
        <w:pStyle w:val="10"/>
        <w:ind w:firstLine="0" w:firstLineChars="0"/>
        <w:jc w:val="right"/>
        <w:rPr>
          <w:rFonts w:hint="eastAsia" w:ascii="仿宋_GB2312" w:hAnsi="仿宋_GB2312" w:eastAsia="仿宋_GB2312" w:cs="仿宋_GB2312"/>
          <w:sz w:val="32"/>
          <w:szCs w:val="32"/>
          <w:lang w:val="en-US" w:eastAsia="zh-CN"/>
        </w:rPr>
      </w:pPr>
      <w:r>
        <w:rPr>
          <w:rFonts w:hint="eastAsia"/>
        </w:rPr>
        <w:t>共印</w:t>
      </w:r>
      <w:r>
        <w:rPr>
          <w:rFonts w:hint="eastAsia" w:ascii="仿宋_GB2312" w:hAnsi="仿宋_GB2312" w:eastAsia="仿宋_GB2312" w:cs="仿宋_GB2312"/>
          <w:kern w:val="2"/>
          <w:sz w:val="32"/>
          <w:szCs w:val="32"/>
          <w:highlight w:val="none"/>
          <w:lang w:val="en-US" w:eastAsia="zh-CN" w:bidi="ar-SA"/>
        </w:rPr>
        <w:t>7</w:t>
      </w:r>
      <w:r>
        <w:rPr>
          <w:rFonts w:hint="eastAsia"/>
        </w:rPr>
        <w:t>份</w:t>
      </w:r>
    </w:p>
    <w:p>
      <w:pP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val="0"/>
          <w:bCs w:val="0"/>
          <w:sz w:val="32"/>
          <w:szCs w:val="32"/>
          <w:lang w:val="en-US" w:eastAsia="zh-CN"/>
        </w:rPr>
        <w:t>附件1:山东现代学院德慧大讲堂宣讲人员报名表</w:t>
      </w:r>
    </w:p>
    <w:p>
      <w:pPr>
        <w:numPr>
          <w:ilvl w:val="0"/>
          <w:numId w:val="0"/>
        </w:numPr>
        <w:jc w:val="center"/>
        <w:rPr>
          <w:rFonts w:hint="eastAsia" w:ascii="黑体" w:hAnsi="黑体" w:eastAsia="黑体" w:cs="黑体"/>
          <w:b/>
          <w:bCs/>
          <w:sz w:val="18"/>
          <w:szCs w:val="18"/>
          <w:lang w:val="en-US" w:eastAsia="zh-CN"/>
        </w:rPr>
      </w:pPr>
      <w:r>
        <w:rPr>
          <w:rFonts w:hint="eastAsia" w:ascii="仿宋_GB2312" w:hAnsi="仿宋_GB2312" w:eastAsia="仿宋_GB2312" w:cs="仿宋_GB2312"/>
          <w:b/>
          <w:bCs/>
          <w:sz w:val="28"/>
          <w:szCs w:val="28"/>
          <w:lang w:val="en-US" w:eastAsia="zh-CN"/>
        </w:rPr>
        <w:t>山东现代学院德慧大讲堂宣讲人员报名表</w:t>
      </w:r>
    </w:p>
    <w:tbl>
      <w:tblPr>
        <w:tblStyle w:val="6"/>
        <w:tblW w:w="50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8"/>
        <w:gridCol w:w="2251"/>
        <w:gridCol w:w="1591"/>
        <w:gridCol w:w="1844"/>
        <w:gridCol w:w="2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384" w:type="dxa"/>
            <w:vAlign w:val="center"/>
          </w:tcPr>
          <w:p>
            <w:pPr>
              <w:adjustRightInd w:val="0"/>
              <w:snapToGrid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姓名</w:t>
            </w:r>
          </w:p>
        </w:tc>
        <w:tc>
          <w:tcPr>
            <w:tcW w:w="2066" w:type="dxa"/>
            <w:vAlign w:val="center"/>
          </w:tcPr>
          <w:p>
            <w:pPr>
              <w:adjustRightInd w:val="0"/>
              <w:snapToGrid w:val="0"/>
              <w:jc w:val="center"/>
              <w:rPr>
                <w:rFonts w:hint="eastAsia" w:ascii="仿宋_GB2312" w:hAnsi="仿宋_GB2312" w:eastAsia="仿宋_GB2312" w:cs="仿宋_GB2312"/>
                <w:sz w:val="24"/>
                <w:szCs w:val="24"/>
              </w:rPr>
            </w:pPr>
          </w:p>
        </w:tc>
        <w:tc>
          <w:tcPr>
            <w:tcW w:w="1460" w:type="dxa"/>
            <w:vAlign w:val="center"/>
          </w:tcPr>
          <w:p>
            <w:pPr>
              <w:adjustRightInd w:val="0"/>
              <w:snapToGrid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性别</w:t>
            </w:r>
          </w:p>
        </w:tc>
        <w:tc>
          <w:tcPr>
            <w:tcW w:w="1692" w:type="dxa"/>
            <w:vAlign w:val="center"/>
          </w:tcPr>
          <w:p>
            <w:pPr>
              <w:adjustRightInd w:val="0"/>
              <w:snapToGrid w:val="0"/>
              <w:jc w:val="center"/>
              <w:rPr>
                <w:rFonts w:hint="eastAsia" w:ascii="仿宋_GB2312" w:hAnsi="仿宋_GB2312" w:eastAsia="仿宋_GB2312" w:cs="仿宋_GB2312"/>
                <w:sz w:val="24"/>
                <w:szCs w:val="24"/>
              </w:rPr>
            </w:pPr>
          </w:p>
        </w:tc>
        <w:tc>
          <w:tcPr>
            <w:tcW w:w="1986" w:type="dxa"/>
            <w:vMerge w:val="restart"/>
            <w:vAlign w:val="center"/>
          </w:tcPr>
          <w:p>
            <w:pPr>
              <w:adjustRightInd w:val="0"/>
              <w:snapToGrid w:val="0"/>
              <w:jc w:val="both"/>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2"/>
                <w:szCs w:val="22"/>
                <w:lang w:eastAsia="zh-CN"/>
              </w:rPr>
              <w:t>（</w:t>
            </w:r>
            <w:r>
              <w:rPr>
                <w:rFonts w:hint="eastAsia" w:ascii="仿宋_GB2312" w:hAnsi="仿宋_GB2312" w:eastAsia="仿宋_GB2312" w:cs="仿宋_GB2312"/>
                <w:sz w:val="22"/>
                <w:szCs w:val="22"/>
                <w:lang w:val="en-US" w:eastAsia="zh-CN"/>
              </w:rPr>
              <w:t>一寸蓝底照片</w:t>
            </w:r>
            <w:r>
              <w:rPr>
                <w:rFonts w:hint="eastAsia" w:ascii="仿宋_GB2312" w:hAnsi="仿宋_GB2312" w:eastAsia="仿宋_GB2312" w:cs="仿宋_GB2312"/>
                <w:sz w:val="22"/>
                <w:szCs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384" w:type="dxa"/>
            <w:vAlign w:val="center"/>
          </w:tcPr>
          <w:p>
            <w:pPr>
              <w:adjustRightInd w:val="0"/>
              <w:snapToGrid w:val="0"/>
              <w:jc w:val="center"/>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出生日期</w:t>
            </w:r>
          </w:p>
        </w:tc>
        <w:tc>
          <w:tcPr>
            <w:tcW w:w="2066" w:type="dxa"/>
            <w:vAlign w:val="center"/>
          </w:tcPr>
          <w:p>
            <w:pPr>
              <w:adjustRightInd w:val="0"/>
              <w:snapToGrid w:val="0"/>
              <w:jc w:val="center"/>
              <w:rPr>
                <w:rFonts w:hint="eastAsia" w:ascii="仿宋_GB2312" w:hAnsi="仿宋_GB2312" w:eastAsia="仿宋_GB2312" w:cs="仿宋_GB2312"/>
                <w:sz w:val="24"/>
                <w:szCs w:val="24"/>
              </w:rPr>
            </w:pPr>
          </w:p>
        </w:tc>
        <w:tc>
          <w:tcPr>
            <w:tcW w:w="1460" w:type="dxa"/>
            <w:vAlign w:val="center"/>
          </w:tcPr>
          <w:p>
            <w:pPr>
              <w:adjustRightInd w:val="0"/>
              <w:snapToGrid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民族</w:t>
            </w:r>
          </w:p>
        </w:tc>
        <w:tc>
          <w:tcPr>
            <w:tcW w:w="1692" w:type="dxa"/>
            <w:vAlign w:val="center"/>
          </w:tcPr>
          <w:p>
            <w:pPr>
              <w:adjustRightInd w:val="0"/>
              <w:snapToGrid w:val="0"/>
              <w:jc w:val="center"/>
              <w:rPr>
                <w:rFonts w:hint="eastAsia" w:ascii="仿宋_GB2312" w:hAnsi="仿宋_GB2312" w:eastAsia="仿宋_GB2312" w:cs="仿宋_GB2312"/>
                <w:sz w:val="24"/>
                <w:szCs w:val="24"/>
              </w:rPr>
            </w:pPr>
          </w:p>
        </w:tc>
        <w:tc>
          <w:tcPr>
            <w:tcW w:w="1986" w:type="dxa"/>
            <w:vMerge w:val="continue"/>
            <w:vAlign w:val="center"/>
          </w:tcPr>
          <w:p>
            <w:pPr>
              <w:adjustRightInd w:val="0"/>
              <w:snapToGrid w:val="0"/>
              <w:jc w:val="center"/>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384" w:type="dxa"/>
            <w:vAlign w:val="center"/>
          </w:tcPr>
          <w:p>
            <w:pPr>
              <w:adjustRightInd w:val="0"/>
              <w:snapToGrid w:val="0"/>
              <w:jc w:val="center"/>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rPr>
              <w:t>政治面貌</w:t>
            </w:r>
          </w:p>
        </w:tc>
        <w:tc>
          <w:tcPr>
            <w:tcW w:w="2066" w:type="dxa"/>
            <w:vAlign w:val="center"/>
          </w:tcPr>
          <w:p>
            <w:pPr>
              <w:adjustRightInd w:val="0"/>
              <w:snapToGrid w:val="0"/>
              <w:jc w:val="center"/>
              <w:rPr>
                <w:rFonts w:hint="eastAsia" w:ascii="仿宋_GB2312" w:hAnsi="仿宋_GB2312" w:eastAsia="仿宋_GB2312" w:cs="仿宋_GB2312"/>
                <w:sz w:val="24"/>
                <w:szCs w:val="24"/>
              </w:rPr>
            </w:pPr>
          </w:p>
        </w:tc>
        <w:tc>
          <w:tcPr>
            <w:tcW w:w="1460" w:type="dxa"/>
            <w:vAlign w:val="center"/>
          </w:tcPr>
          <w:p>
            <w:pPr>
              <w:adjustRightInd w:val="0"/>
              <w:snapToGrid w:val="0"/>
              <w:jc w:val="center"/>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学号</w:t>
            </w:r>
          </w:p>
        </w:tc>
        <w:tc>
          <w:tcPr>
            <w:tcW w:w="1692" w:type="dxa"/>
            <w:vAlign w:val="center"/>
          </w:tcPr>
          <w:p>
            <w:pPr>
              <w:adjustRightInd w:val="0"/>
              <w:snapToGrid w:val="0"/>
              <w:jc w:val="center"/>
              <w:rPr>
                <w:rFonts w:hint="eastAsia" w:ascii="仿宋_GB2312" w:hAnsi="仿宋_GB2312" w:eastAsia="仿宋_GB2312" w:cs="仿宋_GB2312"/>
                <w:sz w:val="24"/>
                <w:szCs w:val="24"/>
              </w:rPr>
            </w:pPr>
          </w:p>
        </w:tc>
        <w:tc>
          <w:tcPr>
            <w:tcW w:w="1986" w:type="dxa"/>
            <w:vMerge w:val="continue"/>
            <w:vAlign w:val="center"/>
          </w:tcPr>
          <w:p>
            <w:pPr>
              <w:adjustRightInd w:val="0"/>
              <w:snapToGrid w:val="0"/>
              <w:jc w:val="center"/>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384" w:type="dxa"/>
            <w:vAlign w:val="center"/>
          </w:tcPr>
          <w:p>
            <w:pPr>
              <w:adjustRightInd w:val="0"/>
              <w:snapToGrid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联系电话</w:t>
            </w:r>
          </w:p>
        </w:tc>
        <w:tc>
          <w:tcPr>
            <w:tcW w:w="2066" w:type="dxa"/>
            <w:vAlign w:val="center"/>
          </w:tcPr>
          <w:p>
            <w:pPr>
              <w:adjustRightInd w:val="0"/>
              <w:snapToGrid w:val="0"/>
              <w:jc w:val="center"/>
              <w:rPr>
                <w:rFonts w:hint="eastAsia" w:ascii="仿宋_GB2312" w:hAnsi="仿宋_GB2312" w:eastAsia="仿宋_GB2312" w:cs="仿宋_GB2312"/>
                <w:sz w:val="24"/>
                <w:szCs w:val="24"/>
              </w:rPr>
            </w:pPr>
          </w:p>
        </w:tc>
        <w:tc>
          <w:tcPr>
            <w:tcW w:w="1460" w:type="dxa"/>
            <w:vAlign w:val="center"/>
          </w:tcPr>
          <w:p>
            <w:pPr>
              <w:adjustRightInd w:val="0"/>
              <w:snapToGrid w:val="0"/>
              <w:jc w:val="center"/>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QQ号</w:t>
            </w:r>
          </w:p>
        </w:tc>
        <w:tc>
          <w:tcPr>
            <w:tcW w:w="1692" w:type="dxa"/>
            <w:vAlign w:val="center"/>
          </w:tcPr>
          <w:p>
            <w:pPr>
              <w:adjustRightInd w:val="0"/>
              <w:snapToGrid w:val="0"/>
              <w:jc w:val="center"/>
              <w:rPr>
                <w:rFonts w:hint="eastAsia" w:ascii="仿宋_GB2312" w:hAnsi="仿宋_GB2312" w:eastAsia="仿宋_GB2312" w:cs="仿宋_GB2312"/>
                <w:sz w:val="24"/>
                <w:szCs w:val="24"/>
              </w:rPr>
            </w:pPr>
          </w:p>
        </w:tc>
        <w:tc>
          <w:tcPr>
            <w:tcW w:w="1986" w:type="dxa"/>
            <w:vMerge w:val="continue"/>
            <w:vAlign w:val="center"/>
          </w:tcPr>
          <w:p>
            <w:pPr>
              <w:adjustRightInd w:val="0"/>
              <w:snapToGrid w:val="0"/>
              <w:jc w:val="center"/>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384" w:type="dxa"/>
            <w:vAlign w:val="center"/>
          </w:tcPr>
          <w:p>
            <w:pPr>
              <w:adjustRightInd w:val="0"/>
              <w:snapToGrid w:val="0"/>
              <w:jc w:val="center"/>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学院</w:t>
            </w:r>
          </w:p>
        </w:tc>
        <w:tc>
          <w:tcPr>
            <w:tcW w:w="2066" w:type="dxa"/>
            <w:vAlign w:val="center"/>
          </w:tcPr>
          <w:p>
            <w:pPr>
              <w:adjustRightInd w:val="0"/>
              <w:snapToGrid w:val="0"/>
              <w:jc w:val="center"/>
              <w:rPr>
                <w:rFonts w:hint="eastAsia" w:ascii="仿宋_GB2312" w:hAnsi="仿宋_GB2312" w:eastAsia="仿宋_GB2312" w:cs="仿宋_GB2312"/>
                <w:sz w:val="24"/>
                <w:szCs w:val="24"/>
              </w:rPr>
            </w:pPr>
          </w:p>
        </w:tc>
        <w:tc>
          <w:tcPr>
            <w:tcW w:w="1460" w:type="dxa"/>
            <w:vAlign w:val="center"/>
          </w:tcPr>
          <w:p>
            <w:pPr>
              <w:adjustRightInd w:val="0"/>
              <w:snapToGrid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sz w:val="24"/>
                <w:szCs w:val="24"/>
                <w:lang w:val="en-US" w:eastAsia="zh-CN"/>
              </w:rPr>
              <w:t>班级</w:t>
            </w:r>
          </w:p>
        </w:tc>
        <w:tc>
          <w:tcPr>
            <w:tcW w:w="3678" w:type="dxa"/>
            <w:gridSpan w:val="2"/>
            <w:vAlign w:val="center"/>
          </w:tcPr>
          <w:p>
            <w:pPr>
              <w:adjustRightInd w:val="0"/>
              <w:snapToGrid w:val="0"/>
              <w:jc w:val="center"/>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8588" w:type="dxa"/>
            <w:gridSpan w:val="5"/>
            <w:shd w:val="clear" w:color="auto" w:fill="F1F1F1" w:themeFill="background1" w:themeFillShade="F2"/>
            <w:vAlign w:val="center"/>
          </w:tcPr>
          <w:p>
            <w:pPr>
              <w:tabs>
                <w:tab w:val="left" w:pos="2330"/>
              </w:tabs>
              <w:adjustRightInd w:val="0"/>
              <w:snapToGrid w:val="0"/>
              <w:jc w:val="lef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sz w:val="24"/>
                <w:szCs w:val="24"/>
                <w:lang w:val="en-US" w:eastAsia="zh-CN"/>
              </w:rPr>
              <w:t>个人简介（包含兴趣爱好、特长、获得荣誉等）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0" w:hRule="atLeast"/>
        </w:trPr>
        <w:tc>
          <w:tcPr>
            <w:tcW w:w="8588" w:type="dxa"/>
            <w:gridSpan w:val="5"/>
            <w:vAlign w:val="center"/>
          </w:tcPr>
          <w:p>
            <w:pPr>
              <w:adjustRightInd w:val="0"/>
              <w:snapToGrid w:val="0"/>
              <w:rPr>
                <w:rFonts w:hint="eastAsia" w:ascii="仿宋_GB2312" w:hAnsi="仿宋_GB2312" w:eastAsia="仿宋_GB2312" w:cs="仿宋_GB2312"/>
                <w:sz w:val="24"/>
                <w:szCs w:val="24"/>
              </w:rPr>
            </w:pPr>
          </w:p>
        </w:tc>
      </w:tr>
    </w:tbl>
    <w:tbl>
      <w:tblPr>
        <w:tblStyle w:val="7"/>
        <w:tblW w:w="50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4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4" w:hRule="atLeast"/>
        </w:trPr>
        <w:tc>
          <w:tcPr>
            <w:tcW w:w="4261" w:type="dxa"/>
            <w:vAlign w:val="top"/>
          </w:tcPr>
          <w:p>
            <w:pPr>
              <w:jc w:val="both"/>
              <w:rPr>
                <w:rFonts w:hint="eastAsia" w:ascii="仿宋_GB2312" w:hAnsi="仿宋_GB2312" w:eastAsia="仿宋_GB2312" w:cs="仿宋_GB2312"/>
                <w:b/>
                <w:bCs/>
                <w:sz w:val="24"/>
                <w:szCs w:val="28"/>
                <w:vertAlign w:val="baseline"/>
                <w:lang w:val="en-US" w:eastAsia="zh-CN"/>
              </w:rPr>
            </w:pPr>
          </w:p>
          <w:p>
            <w:pPr>
              <w:jc w:val="both"/>
              <w:rPr>
                <w:rFonts w:hint="eastAsia" w:ascii="仿宋_GB2312" w:hAnsi="仿宋_GB2312" w:eastAsia="仿宋_GB2312" w:cs="仿宋_GB2312"/>
                <w:b/>
                <w:bCs/>
                <w:sz w:val="24"/>
                <w:szCs w:val="28"/>
                <w:vertAlign w:val="baseline"/>
                <w:lang w:val="en-US" w:eastAsia="zh-CN"/>
              </w:rPr>
            </w:pPr>
          </w:p>
          <w:p>
            <w:pPr>
              <w:jc w:val="both"/>
              <w:rPr>
                <w:rFonts w:hint="eastAsia" w:ascii="仿宋_GB2312" w:hAnsi="仿宋_GB2312" w:eastAsia="仿宋_GB2312" w:cs="仿宋_GB2312"/>
                <w:b/>
                <w:bCs/>
                <w:sz w:val="24"/>
                <w:szCs w:val="28"/>
                <w:vertAlign w:val="baseline"/>
                <w:lang w:val="en-US" w:eastAsia="zh-CN"/>
              </w:rPr>
            </w:pPr>
            <w:r>
              <w:rPr>
                <w:rFonts w:hint="eastAsia" w:ascii="仿宋_GB2312" w:hAnsi="仿宋_GB2312" w:eastAsia="仿宋_GB2312" w:cs="仿宋_GB2312"/>
                <w:b/>
                <w:bCs/>
                <w:sz w:val="24"/>
                <w:szCs w:val="28"/>
                <w:vertAlign w:val="baseline"/>
                <w:lang w:val="en-US" w:eastAsia="zh-CN"/>
              </w:rPr>
              <w:t>二级学院意见</w:t>
            </w:r>
          </w:p>
          <w:p>
            <w:pPr>
              <w:ind w:firstLine="482" w:firstLineChars="200"/>
              <w:jc w:val="both"/>
              <w:rPr>
                <w:rFonts w:hint="eastAsia" w:ascii="仿宋_GB2312" w:hAnsi="仿宋_GB2312" w:eastAsia="仿宋_GB2312" w:cs="仿宋_GB2312"/>
                <w:b/>
                <w:bCs/>
                <w:sz w:val="24"/>
                <w:szCs w:val="28"/>
                <w:vertAlign w:val="baseline"/>
                <w:lang w:val="en-US" w:eastAsia="zh-CN"/>
              </w:rPr>
            </w:pPr>
          </w:p>
          <w:p>
            <w:pPr>
              <w:ind w:firstLine="482" w:firstLineChars="200"/>
              <w:jc w:val="both"/>
              <w:rPr>
                <w:rFonts w:hint="eastAsia" w:ascii="仿宋_GB2312" w:hAnsi="仿宋_GB2312" w:eastAsia="仿宋_GB2312" w:cs="仿宋_GB2312"/>
                <w:b/>
                <w:bCs/>
                <w:sz w:val="24"/>
                <w:szCs w:val="28"/>
                <w:vertAlign w:val="baseline"/>
                <w:lang w:val="en-US" w:eastAsia="zh-CN"/>
              </w:rPr>
            </w:pPr>
          </w:p>
          <w:p>
            <w:pPr>
              <w:ind w:firstLine="1446" w:firstLineChars="600"/>
              <w:jc w:val="both"/>
              <w:rPr>
                <w:rFonts w:hint="eastAsia" w:ascii="仿宋_GB2312" w:hAnsi="仿宋_GB2312" w:eastAsia="仿宋_GB2312" w:cs="仿宋_GB2312"/>
                <w:b/>
                <w:bCs/>
                <w:sz w:val="24"/>
                <w:szCs w:val="28"/>
                <w:vertAlign w:val="baseline"/>
                <w:lang w:val="en-US" w:eastAsia="zh-CN"/>
              </w:rPr>
            </w:pPr>
            <w:r>
              <w:rPr>
                <w:rFonts w:hint="eastAsia" w:ascii="仿宋_GB2312" w:hAnsi="仿宋_GB2312" w:eastAsia="仿宋_GB2312" w:cs="仿宋_GB2312"/>
                <w:b/>
                <w:bCs/>
                <w:sz w:val="24"/>
                <w:szCs w:val="28"/>
                <w:vertAlign w:val="baseline"/>
                <w:lang w:val="en-US" w:eastAsia="zh-CN"/>
              </w:rPr>
              <w:t>（签章）</w:t>
            </w:r>
          </w:p>
        </w:tc>
        <w:tc>
          <w:tcPr>
            <w:tcW w:w="4261" w:type="dxa"/>
            <w:vAlign w:val="top"/>
          </w:tcPr>
          <w:p>
            <w:pPr>
              <w:jc w:val="both"/>
              <w:rPr>
                <w:rFonts w:hint="eastAsia" w:ascii="仿宋_GB2312" w:hAnsi="仿宋_GB2312" w:eastAsia="仿宋_GB2312" w:cs="仿宋_GB2312"/>
                <w:b/>
                <w:bCs/>
                <w:sz w:val="24"/>
                <w:szCs w:val="28"/>
                <w:vertAlign w:val="baseline"/>
                <w:lang w:val="en-US" w:eastAsia="zh-CN"/>
              </w:rPr>
            </w:pPr>
          </w:p>
          <w:p>
            <w:pPr>
              <w:jc w:val="both"/>
              <w:rPr>
                <w:rFonts w:hint="eastAsia" w:ascii="仿宋_GB2312" w:hAnsi="仿宋_GB2312" w:eastAsia="仿宋_GB2312" w:cs="仿宋_GB2312"/>
                <w:b/>
                <w:bCs/>
                <w:sz w:val="24"/>
                <w:szCs w:val="28"/>
                <w:vertAlign w:val="baseline"/>
                <w:lang w:val="en-US" w:eastAsia="zh-CN"/>
              </w:rPr>
            </w:pPr>
          </w:p>
          <w:p>
            <w:pPr>
              <w:jc w:val="both"/>
              <w:rPr>
                <w:rFonts w:hint="eastAsia" w:ascii="仿宋_GB2312" w:hAnsi="仿宋_GB2312" w:eastAsia="仿宋_GB2312" w:cs="仿宋_GB2312"/>
                <w:b/>
                <w:bCs/>
                <w:sz w:val="24"/>
                <w:szCs w:val="28"/>
                <w:vertAlign w:val="baseline"/>
                <w:lang w:val="en-US" w:eastAsia="zh-CN"/>
              </w:rPr>
            </w:pPr>
            <w:r>
              <w:rPr>
                <w:rFonts w:hint="eastAsia" w:ascii="仿宋_GB2312" w:hAnsi="仿宋_GB2312" w:eastAsia="仿宋_GB2312" w:cs="仿宋_GB2312"/>
                <w:b/>
                <w:bCs/>
                <w:sz w:val="24"/>
                <w:szCs w:val="28"/>
                <w:vertAlign w:val="baseline"/>
                <w:lang w:val="en-US" w:eastAsia="zh-CN"/>
              </w:rPr>
              <w:t>团委意见</w:t>
            </w:r>
          </w:p>
          <w:p>
            <w:pPr>
              <w:jc w:val="both"/>
              <w:rPr>
                <w:rFonts w:hint="eastAsia" w:ascii="仿宋_GB2312" w:hAnsi="仿宋_GB2312" w:eastAsia="仿宋_GB2312" w:cs="仿宋_GB2312"/>
                <w:b/>
                <w:bCs/>
                <w:sz w:val="24"/>
                <w:szCs w:val="28"/>
                <w:vertAlign w:val="baseline"/>
                <w:lang w:val="en-US" w:eastAsia="zh-CN"/>
              </w:rPr>
            </w:pPr>
          </w:p>
          <w:p>
            <w:pPr>
              <w:jc w:val="both"/>
              <w:rPr>
                <w:rFonts w:hint="eastAsia" w:ascii="仿宋_GB2312" w:hAnsi="仿宋_GB2312" w:eastAsia="仿宋_GB2312" w:cs="仿宋_GB2312"/>
                <w:b/>
                <w:bCs/>
                <w:sz w:val="24"/>
                <w:szCs w:val="28"/>
                <w:vertAlign w:val="baseline"/>
                <w:lang w:val="en-US" w:eastAsia="zh-CN"/>
              </w:rPr>
            </w:pPr>
          </w:p>
          <w:p>
            <w:pPr>
              <w:ind w:firstLine="1687" w:firstLineChars="700"/>
              <w:jc w:val="both"/>
              <w:rPr>
                <w:rFonts w:hint="eastAsia" w:ascii="仿宋_GB2312" w:hAnsi="仿宋_GB2312" w:eastAsia="仿宋_GB2312" w:cs="仿宋_GB2312"/>
                <w:b/>
                <w:bCs/>
                <w:sz w:val="24"/>
                <w:szCs w:val="28"/>
                <w:vertAlign w:val="baseline"/>
                <w:lang w:val="en-US" w:eastAsia="zh-CN"/>
              </w:rPr>
            </w:pPr>
            <w:r>
              <w:rPr>
                <w:rFonts w:hint="eastAsia" w:ascii="仿宋_GB2312" w:hAnsi="仿宋_GB2312" w:eastAsia="仿宋_GB2312" w:cs="仿宋_GB2312"/>
                <w:b/>
                <w:bCs/>
                <w:sz w:val="24"/>
                <w:szCs w:val="28"/>
                <w:vertAlign w:val="baseline"/>
                <w:lang w:val="en-US" w:eastAsia="zh-CN"/>
              </w:rPr>
              <w:t>（盖章）</w:t>
            </w:r>
          </w:p>
        </w:tc>
      </w:tr>
    </w:tbl>
    <w:p>
      <w:pPr>
        <w:numPr>
          <w:ilvl w:val="0"/>
          <w:numId w:val="0"/>
        </w:numPr>
        <w:jc w:val="both"/>
        <w:rPr>
          <w:rFonts w:hint="eastAsia" w:ascii="仿宋_GB2312" w:hAnsi="仿宋_GB2312" w:eastAsia="仿宋_GB2312" w:cs="仿宋_GB2312"/>
          <w:sz w:val="32"/>
          <w:szCs w:val="32"/>
          <w:lang w:val="en-US" w:eastAsia="zh-CN"/>
        </w:rPr>
      </w:pPr>
    </w:p>
    <w:p>
      <w:pPr>
        <w:pStyle w:val="10"/>
        <w:keepNext w:val="0"/>
        <w:keepLines w:val="0"/>
        <w:pageBreakBefore w:val="0"/>
        <w:widowControl w:val="0"/>
        <w:kinsoku/>
        <w:wordWrap/>
        <w:overflowPunct/>
        <w:topLinePunct w:val="0"/>
        <w:autoSpaceDE/>
        <w:autoSpaceDN/>
        <w:bidi w:val="0"/>
        <w:adjustRightInd/>
        <w:spacing w:line="560" w:lineRule="exact"/>
        <w:textAlignment w:val="auto"/>
        <w:rPr>
          <w:rFonts w:hint="eastAsia"/>
          <w:lang w:val="en-US" w:eastAsia="zh-CN"/>
        </w:rPr>
      </w:pPr>
    </w:p>
    <w:p>
      <w:pPr>
        <w:pStyle w:val="10"/>
        <w:keepNext w:val="0"/>
        <w:keepLines w:val="0"/>
        <w:pageBreakBefore w:val="0"/>
        <w:widowControl w:val="0"/>
        <w:kinsoku/>
        <w:wordWrap/>
        <w:overflowPunct/>
        <w:topLinePunct w:val="0"/>
        <w:autoSpaceDE/>
        <w:autoSpaceDN/>
        <w:bidi w:val="0"/>
        <w:adjustRightInd/>
        <w:spacing w:line="560" w:lineRule="exact"/>
        <w:jc w:val="right"/>
        <w:textAlignment w:val="auto"/>
        <w:rPr>
          <w:rFonts w:hint="eastAsia" w:ascii="仿宋_GB2312" w:hAnsi="仿宋_GB2312" w:eastAsia="仿宋_GB2312" w:cs="仿宋_GB2312"/>
          <w:szCs w:val="32"/>
          <w:lang w:val="en-US" w:eastAsia="zh-CN"/>
        </w:rPr>
      </w:pPr>
    </w:p>
    <w:sectPr>
      <w:footerReference r:id="rId3" w:type="default"/>
      <w:pgSz w:w="11906" w:h="16838"/>
      <w:pgMar w:top="158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E72ADD4-49F1-4443-96E2-210F00F733B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332B63DD-4FF2-441C-A686-DFD4E260AFCB}"/>
  </w:font>
  <w:font w:name="Cambria">
    <w:panose1 w:val="02040503050406030204"/>
    <w:charset w:val="00"/>
    <w:family w:val="roman"/>
    <w:pitch w:val="default"/>
    <w:sig w:usb0="E00006FF" w:usb1="420024FF" w:usb2="02000000" w:usb3="00000000" w:csb0="2000019F" w:csb1="00000000"/>
  </w:font>
  <w:font w:name="方正小标宋简体">
    <w:panose1 w:val="02000000000000000000"/>
    <w:charset w:val="86"/>
    <w:family w:val="auto"/>
    <w:pitch w:val="default"/>
    <w:sig w:usb0="00000001" w:usb1="08000000" w:usb2="00000000" w:usb3="00000000" w:csb0="00040000" w:csb1="00000000"/>
    <w:embedRegular r:id="rId3" w:fontKey="{1C4A7E77-6560-4C46-BC36-0B79F3AB99A5}"/>
  </w:font>
  <w:font w:name="仿宋_GB2312">
    <w:panose1 w:val="02010609030101010101"/>
    <w:charset w:val="86"/>
    <w:family w:val="auto"/>
    <w:pitch w:val="default"/>
    <w:sig w:usb0="00000001" w:usb1="080E0000" w:usb2="00000000" w:usb3="00000000" w:csb0="00040000" w:csb1="00000000"/>
    <w:embedRegular r:id="rId4" w:fontKey="{77C1C206-D0F3-4F7D-ABB4-6F63523899CF}"/>
  </w:font>
  <w:font w:name="方正楷体_GB2312">
    <w:panose1 w:val="02000000000000000000"/>
    <w:charset w:val="86"/>
    <w:family w:val="auto"/>
    <w:pitch w:val="default"/>
    <w:sig w:usb0="A00002BF" w:usb1="184F6CFA" w:usb2="00000012" w:usb3="00000000" w:csb0="00040001" w:csb1="00000000"/>
    <w:embedRegular r:id="rId5" w:fontKey="{7D19980D-803D-48D7-B1F5-E39FF92A8750}"/>
  </w:font>
  <w:font w:name="华文中宋">
    <w:panose1 w:val="02010600040101010101"/>
    <w:charset w:val="86"/>
    <w:family w:val="auto"/>
    <w:pitch w:val="default"/>
    <w:sig w:usb0="00000287" w:usb1="080F0000" w:usb2="00000000" w:usb3="00000000" w:csb0="0004009F" w:csb1="DFD70000"/>
    <w:embedRegular r:id="rId6" w:fontKey="{88A4D00E-A3DB-456B-BE2A-5717B299D5BB}"/>
  </w:font>
  <w:font w:name="仿宋">
    <w:panose1 w:val="02010609060101010101"/>
    <w:charset w:val="86"/>
    <w:family w:val="auto"/>
    <w:pitch w:val="default"/>
    <w:sig w:usb0="800002BF" w:usb1="38CF7CFA" w:usb2="00000016" w:usb3="00000000" w:csb0="00040001" w:csb1="00000000"/>
    <w:embedRegular r:id="rId7" w:fontKey="{2398FC98-3E16-4CBE-9CD6-BD848FC2D5E6}"/>
  </w:font>
  <w:font w:name="楷体">
    <w:panose1 w:val="02010609060101010101"/>
    <w:charset w:val="86"/>
    <w:family w:val="auto"/>
    <w:pitch w:val="default"/>
    <w:sig w:usb0="800002BF" w:usb1="38CF7CFA" w:usb2="00000016" w:usb3="00000000" w:csb0="00040001" w:csb1="00000000"/>
    <w:embedRegular r:id="rId8" w:fontKey="{515F1705-04DD-4330-991C-5F9CA51A465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235"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0223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8.05pt;mso-position-horizontal:center;mso-position-horizontal-relative:margin;z-index:251659264;mso-width-relative:page;mso-height-relative:page;" filled="f" stroked="f" coordsize="21600,21600" o:gfxdata="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HzCFZ0wAAAAQBAAAPAAAAAAAAAAEAIAAAACIAAABkcnMvZG93bnJldi54&#10;bWxQSwECFAAUAAAACACHTuJAr2NG1DgCAABiBAAADgAAAAAAAAABACAAAAAiAQAAZHJzL2Uyb0Rv&#10;Yy54bWxQSwUGAAAAAAYABgBZAQAAzAUAAAAA&#10;">
              <v:fill on="f" focussize="0,0"/>
              <v:stroke on="f" weight="0.5pt"/>
              <v:imagedata o:title=""/>
              <o:lock v:ext="edit" aspectratio="f"/>
              <v:textbox inset="0mm,0mm,0mm,0mm" style="mso-fit-shape-to-text:t;">
                <w:txbxContent>
                  <w:p>
                    <w:pPr>
                      <w:pStyle w:val="4"/>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49CE9D"/>
    <w:multiLevelType w:val="singleLevel"/>
    <w:tmpl w:val="A549CE9D"/>
    <w:lvl w:ilvl="0" w:tentative="0">
      <w:start w:val="6"/>
      <w:numFmt w:val="chineseCounting"/>
      <w:suff w:val="nothing"/>
      <w:lvlText w:val="（%1）"/>
      <w:lvlJc w:val="left"/>
      <w:rPr>
        <w:rFonts w:hint="eastAsia"/>
      </w:rPr>
    </w:lvl>
  </w:abstractNum>
  <w:abstractNum w:abstractNumId="1">
    <w:nsid w:val="C609866B"/>
    <w:multiLevelType w:val="singleLevel"/>
    <w:tmpl w:val="C609866B"/>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BmYTRkZGI4MDcwZTBmMDcyNGIwODQyYzNmOTdiYzcifQ=="/>
  </w:docVars>
  <w:rsids>
    <w:rsidRoot w:val="00000000"/>
    <w:rsid w:val="05EF7222"/>
    <w:rsid w:val="0CCF6E69"/>
    <w:rsid w:val="124A0958"/>
    <w:rsid w:val="13FA7751"/>
    <w:rsid w:val="197D471A"/>
    <w:rsid w:val="1EE24CF5"/>
    <w:rsid w:val="20971CD4"/>
    <w:rsid w:val="22F265A8"/>
    <w:rsid w:val="2B614A84"/>
    <w:rsid w:val="2B633014"/>
    <w:rsid w:val="36056E4B"/>
    <w:rsid w:val="42CE44E5"/>
    <w:rsid w:val="45112A43"/>
    <w:rsid w:val="45467553"/>
    <w:rsid w:val="47C62B66"/>
    <w:rsid w:val="52B2518B"/>
    <w:rsid w:val="53E873CF"/>
    <w:rsid w:val="5B8909A4"/>
    <w:rsid w:val="616C4CA1"/>
    <w:rsid w:val="62966EB6"/>
    <w:rsid w:val="76E3003A"/>
    <w:rsid w:val="7EC730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toa heading"/>
    <w:basedOn w:val="1"/>
    <w:next w:val="1"/>
    <w:unhideWhenUsed/>
    <w:qFormat/>
    <w:uiPriority w:val="99"/>
    <w:pPr>
      <w:spacing w:before="120"/>
    </w:pPr>
    <w:rPr>
      <w:rFonts w:ascii="Cambria" w:hAnsi="Cambria" w:cs="Times New Roman"/>
      <w:sz w:val="24"/>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customStyle="1" w:styleId="9">
    <w:name w:val="评估标题"/>
    <w:basedOn w:val="1"/>
    <w:qFormat/>
    <w:uiPriority w:val="0"/>
    <w:pPr>
      <w:jc w:val="center"/>
    </w:pPr>
    <w:rPr>
      <w:rFonts w:eastAsia="方正小标宋简体" w:asciiTheme="minorHAnsi" w:hAnsiTheme="minorHAnsi"/>
      <w:sz w:val="44"/>
    </w:rPr>
  </w:style>
  <w:style w:type="paragraph" w:customStyle="1" w:styleId="10">
    <w:name w:val="评估正文"/>
    <w:basedOn w:val="1"/>
    <w:qFormat/>
    <w:uiPriority w:val="0"/>
    <w:pPr>
      <w:ind w:firstLine="1928" w:firstLineChars="200"/>
    </w:pPr>
    <w:rPr>
      <w:rFonts w:eastAsia="仿宋_GB2312" w:asciiTheme="minorHAnsi" w:hAnsiTheme="minorHAnsi"/>
      <w:sz w:val="32"/>
    </w:rPr>
  </w:style>
  <w:style w:type="paragraph" w:customStyle="1" w:styleId="11">
    <w:name w:val="评估前言"/>
    <w:basedOn w:val="1"/>
    <w:qFormat/>
    <w:uiPriority w:val="0"/>
    <w:pPr>
      <w:ind w:firstLine="880" w:firstLineChars="200"/>
      <w:jc w:val="left"/>
    </w:pPr>
    <w:rPr>
      <w:rFonts w:eastAsia="仿宋_GB2312" w:asciiTheme="minorAscii" w:hAnsiTheme="minorAscii"/>
      <w:sz w:val="32"/>
    </w:rPr>
  </w:style>
  <w:style w:type="paragraph" w:customStyle="1" w:styleId="12">
    <w:name w:val="评估标题（一）"/>
    <w:basedOn w:val="1"/>
    <w:qFormat/>
    <w:uiPriority w:val="0"/>
    <w:pPr>
      <w:ind w:firstLine="880" w:firstLineChars="200"/>
      <w:jc w:val="left"/>
    </w:pPr>
    <w:rPr>
      <w:rFonts w:eastAsia="方正楷体_GB2312" w:asciiTheme="minorAscii" w:hAnsiTheme="minorAscii"/>
      <w:sz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1051</Words>
  <Characters>1099</Characters>
  <Lines>0</Lines>
  <Paragraphs>0</Paragraphs>
  <TotalTime>0</TotalTime>
  <ScaleCrop>false</ScaleCrop>
  <LinksUpToDate>false</LinksUpToDate>
  <CharactersWithSpaces>1232</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2023-05-23T01:45:00Z</dcterms:created>
  <dc:creator>86159</dc:creator>
  <cp:lastModifiedBy>头上有犄角</cp:lastModifiedBy>
  <cp:lastPrinted>2023-09-23T00:59:00Z</cp:lastPrinted>
  <dcterms:modified xsi:type="dcterms:W3CDTF">2023-10-19T02:03:04Z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7DCB8FDBE809466783392798656210C4_13</vt:lpwstr>
  </property>
</Properties>
</file>